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perm undermines transparency necessary to protect the public domain in the assessment process --- the assessment </w:t>
      </w:r>
      <w:r>
        <w:rPr>
          <w:b/>
          <w:i w:val="0"/>
          <w:smallCaps w:val="0"/>
          <w:strike w:val="0"/>
          <w:sz w:val="26"/>
          <w:u w:val="none"/>
        </w:rPr>
        <w:t>has to</w:t>
      </w:r>
      <w:r>
        <w:rPr>
          <w:b/>
          <w:i w:val="0"/>
          <w:smallCaps w:val="0"/>
          <w:strike w:val="0"/>
          <w:sz w:val="26"/>
          <w:u w:val="none"/>
        </w:rPr>
        <w:t xml:space="preserve"> be narrow</w:t>
      </w:r>
    </w:p>
    <w:p>
      <w:pPr>
        <w:spacing w:after="80"/>
      </w:pPr>
      <w:r>
        <w:rPr>
          <w:b/>
          <w:i w:val="0"/>
          <w:smallCaps w:val="0"/>
          <w:strike w:val="0"/>
          <w:sz w:val="26"/>
          <w:u w:val="none"/>
        </w:rPr>
        <w:t>De Beer ‘16</w:t>
      </w:r>
    </w:p>
    <w:p>
      <w:pPr>
        <w:spacing w:after="60"/>
      </w:pPr>
      <w:r>
        <w:rPr>
          <w:b w:val="0"/>
          <w:i w:val="0"/>
          <w:smallCaps w:val="0"/>
          <w:strike w:val="0"/>
          <w:u w:val="none"/>
        </w:rPr>
        <w:t xml:space="preserve">(Faculty of Law, University of Ottawa, “Evidence-Based Intellectual Property Policymaking: An Integrated Review of Methods and Conclusions,” </w:t>
      </w:r>
      <w:r>
        <w:rPr>
          <w:b w:val="0"/>
          <w:i w:val="0"/>
          <w:smallCaps w:val="0"/>
          <w:strike w:val="0"/>
          <w:u w:val="none"/>
        </w:rPr>
        <w:t>pg</w:t>
      </w:r>
      <w:r>
        <w:rPr>
          <w:b w:val="0"/>
          <w:i w:val="0"/>
          <w:smallCaps w:val="0"/>
          <w:strike w:val="0"/>
          <w:u w:val="none"/>
        </w:rPr>
        <w:t xml:space="preserve"> online @ https://onlinelibrary.wiley.com/doi/full/10.1111/jwip.12069 //pa-</w:t>
      </w:r>
      <w:r>
        <w:rPr>
          <w:b w:val="0"/>
          <w:i w:val="0"/>
          <w:smallCaps w:val="0"/>
          <w:strike w:val="0"/>
          <w:u w:val="none"/>
        </w:rPr>
        <w:t>ef</w:t>
      </w:r>
      <w:r>
        <w:rPr>
          <w:b w:val="0"/>
          <w:i w:val="0"/>
          <w:smallCaps w:val="0"/>
          <w:strike w:val="0"/>
          <w:u w:val="none"/>
        </w:rPr>
        <w:t>)</w:t>
      </w:r>
    </w:p>
    <w:p>
      <w:pPr>
        <w:spacing w:after="60"/>
      </w:pPr>
      <w:r>
        <w:rPr>
          <w:b/>
          <w:i w:val="0"/>
          <w:smallCaps w:val="0"/>
          <w:strike w:val="0"/>
          <w:sz w:val="22"/>
          <w:highlight w:val="cyan"/>
          <w:u w:val="single"/>
        </w:rPr>
        <w:t>The most relevant characteristic of these studies</w:t>
      </w:r>
      <w:r>
        <w:rPr>
          <w:b w:val="0"/>
          <w:i w:val="0"/>
          <w:smallCaps w:val="0"/>
          <w:strike w:val="0"/>
          <w:u w:val="none"/>
        </w:rPr>
        <w:t xml:space="preserve"> by Canadian government-commissioned or industry-sponsored researchers </w:t>
      </w:r>
      <w:r>
        <w:rPr>
          <w:b/>
          <w:i w:val="0"/>
          <w:smallCaps w:val="0"/>
          <w:strike w:val="0"/>
          <w:sz w:val="22"/>
          <w:highlight w:val="cyan"/>
          <w:u w:val="single"/>
        </w:rPr>
        <w:t xml:space="preserve">is their </w:t>
      </w:r>
      <w:r>
        <w:rPr>
          <w:b/>
          <w:i w:val="0"/>
          <w:smallCaps w:val="0"/>
          <w:strike w:val="0"/>
          <w:sz w:val="22"/>
          <w:highlight w:val="cyan"/>
          <w:u w:val="single"/>
        </w:rPr>
        <w:t>specifity</w:t>
      </w:r>
      <w:r>
        <w:rPr>
          <w:b/>
          <w:i w:val="0"/>
          <w:smallCaps w:val="0"/>
          <w:strike w:val="0"/>
          <w:sz w:val="22"/>
          <w:highlight w:val="cyan"/>
          <w:u w:val="single"/>
        </w:rPr>
        <w:t xml:space="preserve"> of analysis</w:t>
      </w:r>
      <w:r>
        <w:rPr>
          <w:b w:val="0"/>
          <w:i w:val="0"/>
          <w:smallCaps w:val="0"/>
          <w:strike w:val="0"/>
          <w:u w:val="none"/>
        </w:rPr>
        <w:t xml:space="preserve">. </w:t>
      </w:r>
      <w:r>
        <w:rPr>
          <w:b/>
          <w:i w:val="0"/>
          <w:smallCaps w:val="0"/>
          <w:strike w:val="0"/>
          <w:sz w:val="22"/>
          <w:highlight w:val="cyan"/>
          <w:u w:val="single"/>
        </w:rPr>
        <w:t>They do not purport to make broad claims</w:t>
      </w:r>
      <w:r>
        <w:rPr>
          <w:b w:val="0"/>
          <w:i w:val="0"/>
          <w:smallCaps w:val="0"/>
          <w:strike w:val="0"/>
          <w:u w:val="none"/>
        </w:rPr>
        <w:t xml:space="preserve"> </w:t>
      </w:r>
      <w:r>
        <w:rPr>
          <w:b/>
          <w:i w:val="0"/>
          <w:smallCaps w:val="0"/>
          <w:strike w:val="0"/>
          <w:sz w:val="22"/>
          <w:highlight w:val="cyan"/>
          <w:u w:val="single"/>
        </w:rPr>
        <w:t>about</w:t>
      </w:r>
      <w:r>
        <w:rPr>
          <w:b/>
          <w:i w:val="0"/>
          <w:smallCaps w:val="0"/>
          <w:strike w:val="0"/>
          <w:sz w:val="22"/>
          <w:u w:val="single"/>
        </w:rPr>
        <w:t xml:space="preserve"> </w:t>
      </w:r>
      <w:r>
        <w:rPr>
          <w:b w:val="0"/>
          <w:i w:val="0"/>
          <w:smallCaps w:val="0"/>
          <w:strike w:val="0"/>
          <w:u w:val="none"/>
        </w:rPr>
        <w:t xml:space="preserve">the size of </w:t>
      </w:r>
      <w:r>
        <w:rPr>
          <w:b/>
          <w:i w:val="0"/>
          <w:smallCaps w:val="0"/>
          <w:strike w:val="0"/>
          <w:sz w:val="22"/>
          <w:highlight w:val="cyan"/>
          <w:u w:val="single"/>
        </w:rPr>
        <w:t>IP</w:t>
      </w:r>
      <w:r>
        <w:rPr>
          <w:b w:val="0"/>
          <w:i w:val="0"/>
          <w:smallCaps w:val="0"/>
          <w:strike w:val="0"/>
          <w:u w:val="none"/>
        </w:rPr>
        <w:t xml:space="preserve"> </w:t>
      </w:r>
      <w:r>
        <w:rPr>
          <w:b w:val="0"/>
          <w:i w:val="0"/>
          <w:smallCaps w:val="0"/>
          <w:strike w:val="0"/>
          <w:u w:val="none"/>
        </w:rPr>
        <w:t>industries, or</w:t>
      </w:r>
      <w:r>
        <w:rPr>
          <w:b w:val="0"/>
          <w:i w:val="0"/>
          <w:smallCaps w:val="0"/>
          <w:strike w:val="0"/>
          <w:u w:val="none"/>
        </w:rPr>
        <w:t xml:space="preserve"> cherry-pick statistics to support polemics. </w:t>
      </w:r>
      <w:r>
        <w:rPr>
          <w:b/>
          <w:i w:val="0"/>
          <w:smallCaps w:val="0"/>
          <w:strike w:val="0"/>
          <w:sz w:val="22"/>
          <w:highlight w:val="cyan"/>
          <w:u w:val="single"/>
        </w:rPr>
        <w:t>The narrower the study</w:t>
      </w:r>
      <w:r>
        <w:rPr>
          <w:b w:val="0"/>
          <w:i w:val="0"/>
          <w:smallCaps w:val="0"/>
          <w:strike w:val="0"/>
          <w:u w:val="none"/>
        </w:rPr>
        <w:t xml:space="preserve">, </w:t>
      </w:r>
      <w:r>
        <w:rPr>
          <w:b/>
          <w:i w:val="0"/>
          <w:smallCaps w:val="0"/>
          <w:strike w:val="0"/>
          <w:sz w:val="22"/>
          <w:highlight w:val="cyan"/>
          <w:u w:val="single"/>
        </w:rPr>
        <w:t>the more likely it seems to provide evidence that relies on transparent methodologies, verifiable data and peer reviewable conclusions</w:t>
      </w:r>
      <w:r>
        <w:rPr>
          <w:b w:val="0"/>
          <w:i w:val="0"/>
          <w:smallCaps w:val="0"/>
          <w:strike w:val="0"/>
          <w:u w:val="none"/>
        </w:rPr>
        <w:t xml:space="preserve">. Yet, its own studies are not often cited when Canada makes purportedly justified changes in its IP policies. As in the United Kingdom and EU cases mentioned at the outset of this article, Canada is not alone with this pattern of </w:t>
      </w:r>
      <w:r>
        <w:rPr>
          <w:b w:val="0"/>
          <w:i w:val="0"/>
          <w:smallCaps w:val="0"/>
          <w:strike w:val="0"/>
          <w:u w:val="none"/>
        </w:rPr>
        <w:t>behaviour</w:t>
      </w:r>
      <w:r>
        <w:rPr>
          <w:b w:val="0"/>
          <w:i w:val="0"/>
          <w:smallCaps w:val="0"/>
          <w:strike w:val="0"/>
          <w:u w:val="none"/>
        </w:rPr>
        <w:t>.</w:t>
      </w:r>
    </w:p>
    <w:p>
      <w:pPr>
        <w:pStyle w:val="Caption"/>
      </w:pPr>
      <w:r>
        <w:t>Source: PDIA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