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Results in a political opportunity to say no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OECD ‘21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(“Improving Policy Instruments through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https://www.oecd-ilibrary.org/docserver/5kml60vnhc6h-en.pdf?expires=1721281449&amp;id=id&amp;accname=guest&amp;checksum=3EC467D790CE506FA407BC6512D869C3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As a final step, the results of consultations inside and outside the administration, as well as the results of the analysis carried out by civil servants in the lead</w:t>
      </w:r>
      <w:r>
        <w:rPr>
          <w:b w:val="0"/>
          <w:i w:val="0"/>
          <w:smallCaps w:val="0"/>
          <w:strike w:val="0"/>
          <w:u w:val="none"/>
        </w:rPr>
        <w:t xml:space="preserve"> ministry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evaluated, documented and comparatively assessed.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output of this comparative assessment will be a recommendation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 the political decision-takers determining the policy option</w:t>
      </w:r>
      <w:r>
        <w:rPr>
          <w:b w:val="0"/>
          <w:i w:val="0"/>
          <w:smallCaps w:val="0"/>
          <w:strike w:val="0"/>
          <w:u w:val="none"/>
        </w:rPr>
        <w:t xml:space="preserve">, which seems to best meet the set requirements. The final decision on which alternative to pursue rests with the political level.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may well be political considerations which could result in choosing another rather than the recommended alternative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