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Politics will UNDERMINE the plan’s assessment </w:t>
      </w:r>
    </w:p>
    <w:p>
      <w:pPr>
        <w:spacing w:after="80"/>
      </w:pPr>
      <w:r>
        <w:rPr>
          <w:b/>
          <w:i w:val="0"/>
          <w:smallCaps w:val="0"/>
          <w:strike w:val="0"/>
          <w:sz w:val="26"/>
          <w:u w:val="none"/>
        </w:rPr>
        <w:t>De Beer ‘16</w:t>
      </w:r>
    </w:p>
    <w:p>
      <w:pPr>
        <w:spacing w:after="60"/>
      </w:pPr>
      <w:r>
        <w:rPr>
          <w:b w:val="0"/>
          <w:i w:val="0"/>
          <w:smallCaps w:val="0"/>
          <w:strike w:val="0"/>
          <w:u w:val="none"/>
        </w:rPr>
        <w:t xml:space="preserve">(Faculty of Law, University of Ottawa, “Evidence-Based Intellectual Property Policymaking: An Integrated Review of Methods and Conclusions,” </w:t>
      </w:r>
      <w:r>
        <w:rPr>
          <w:b w:val="0"/>
          <w:i w:val="0"/>
          <w:smallCaps w:val="0"/>
          <w:strike w:val="0"/>
          <w:u w:val="none"/>
        </w:rPr>
        <w:t>pg</w:t>
      </w:r>
      <w:r>
        <w:rPr>
          <w:b w:val="0"/>
          <w:i w:val="0"/>
          <w:smallCaps w:val="0"/>
          <w:strike w:val="0"/>
          <w:u w:val="none"/>
        </w:rPr>
        <w:t xml:space="preserve"> online @ https://onlinelibrary.wiley.com/doi/full/10.1111/jwip.12069 //pa-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 xml:space="preserve">Another issue is that </w:t>
      </w:r>
      <w:r>
        <w:rPr>
          <w:b/>
          <w:i w:val="0"/>
          <w:smallCaps w:val="0"/>
          <w:strike w:val="0"/>
          <w:sz w:val="22"/>
          <w:highlight w:val="cyan"/>
          <w:u w:val="single"/>
        </w:rPr>
        <w:t>those who insist on evidence-based IP policy</w:t>
      </w:r>
      <w:r>
        <w:rPr>
          <w:b w:val="0"/>
          <w:i w:val="0"/>
          <w:smallCaps w:val="0"/>
          <w:strike w:val="0"/>
          <w:u w:val="none"/>
        </w:rPr>
        <w:t xml:space="preserve"> occasionally </w:t>
      </w:r>
      <w:r>
        <w:rPr>
          <w:b/>
          <w:i w:val="0"/>
          <w:smallCaps w:val="0"/>
          <w:strike w:val="0"/>
          <w:sz w:val="22"/>
          <w:highlight w:val="cyan"/>
          <w:u w:val="single"/>
        </w:rPr>
        <w:t>ignore their own ideals</w:t>
      </w:r>
      <w:r>
        <w:rPr>
          <w:b w:val="0"/>
          <w:i w:val="0"/>
          <w:smallCaps w:val="0"/>
          <w:strike w:val="0"/>
          <w:u w:val="none"/>
        </w:rPr>
        <w:t>. “</w:t>
      </w:r>
      <w:r>
        <w:rPr>
          <w:b/>
          <w:i w:val="0"/>
          <w:smallCaps w:val="0"/>
          <w:strike w:val="0"/>
          <w:sz w:val="22"/>
          <w:highlight w:val="cyan"/>
          <w:u w:val="single"/>
        </w:rPr>
        <w:t>Policy making remains a political business with or without economic evidence</w:t>
      </w:r>
      <w:r>
        <w:rPr>
          <w:b w:val="0"/>
          <w:i w:val="0"/>
          <w:smallCaps w:val="0"/>
          <w:strike w:val="0"/>
          <w:u w:val="none"/>
        </w:rPr>
        <w:t xml:space="preserve">”, Towse (2013) explains in the Cambridge Journal of Economics in 2013 (p. 1188). </w:t>
      </w:r>
      <w:r>
        <w:rPr>
          <w:b/>
          <w:i w:val="0"/>
          <w:smallCaps w:val="0"/>
          <w:strike w:val="0"/>
          <w:sz w:val="22"/>
          <w:highlight w:val="cyan"/>
          <w:u w:val="single"/>
        </w:rPr>
        <w:t xml:space="preserve">This undermines stakeholders’ confidence in </w:t>
      </w:r>
      <w:r>
        <w:rPr>
          <w:b/>
          <w:i w:val="0"/>
          <w:smallCaps w:val="0"/>
          <w:strike w:val="0"/>
          <w:sz w:val="22"/>
          <w:highlight w:val="cyan"/>
          <w:u w:val="single"/>
        </w:rPr>
        <w:t>a process</w:t>
      </w:r>
      <w:r>
        <w:rPr>
          <w:b/>
          <w:i w:val="0"/>
          <w:smallCaps w:val="0"/>
          <w:strike w:val="0"/>
          <w:sz w:val="22"/>
          <w:highlight w:val="cyan"/>
          <w:u w:val="single"/>
        </w:rPr>
        <w:t xml:space="preserve"> of preparing and submitting evidence that may not matter anyways</w:t>
      </w:r>
      <w:r>
        <w:rPr>
          <w:b w:val="0"/>
          <w:i w:val="0"/>
          <w:smallCaps w:val="0"/>
          <w:strike w:val="0"/>
          <w:u w:val="none"/>
        </w:rPr>
        <w:t>. Database protection in the European Union (EU) has been cited as one example (Hargreaves, 2011, p. 19). Copyright term extension for sound recordings in the United Kingdom, to match protection in the EU, is another (Hargreaves, 2011; Towse, 2013).</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