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IPR decreases litigation.</w:t>
      </w:r>
    </w:p>
    <w:p>
      <w:pPr>
        <w:spacing w:after="80"/>
      </w:pPr>
      <w:r>
        <w:rPr>
          <w:b/>
          <w:i w:val="0"/>
          <w:smallCaps w:val="0"/>
          <w:strike w:val="0"/>
          <w:sz w:val="24"/>
          <w:u w:val="none"/>
        </w:rPr>
        <w:t xml:space="preserve">Maynard ’17 </w:t>
      </w:r>
      <w:r>
        <w:rPr>
          <w:b w:val="0"/>
          <w:i w:val="0"/>
          <w:smallCaps w:val="0"/>
          <w:strike w:val="0"/>
          <w:sz w:val="20"/>
          <w:u w:val="none"/>
        </w:rPr>
        <w:t>[</w:t>
      </w:r>
      <w:r>
        <w:rPr>
          <w:b w:val="0"/>
          <w:i w:val="0"/>
          <w:smallCaps w:val="0"/>
          <w:strike w:val="0"/>
          <w:sz w:val="20"/>
          <w:u w:val="none"/>
        </w:rPr>
        <w:t xml:space="preserve">Clint; JD from University of Minnesota Law School; </w:t>
      </w:r>
      <w:r>
        <w:rPr>
          <w:b w:val="0"/>
          <w:i/>
          <w:smallCaps w:val="0"/>
          <w:strike w:val="0"/>
          <w:sz w:val="20"/>
          <w:u w:val="none"/>
        </w:rPr>
        <w:t>Minnesota Law Review</w:t>
      </w:r>
      <w:r>
        <w:rPr>
          <w:b w:val="0"/>
          <w:i w:val="0"/>
          <w:smallCaps w:val="0"/>
          <w:strike w:val="0"/>
          <w:sz w:val="20"/>
          <w:u w:val="none"/>
        </w:rPr>
        <w:t xml:space="preserve">; 10/29/2017; “Patent Apocalypse,” </w:t>
      </w:r>
      <w:r>
        <w:rPr>
          <w:b w:val="0"/>
          <w:i w:val="0"/>
          <w:smallCaps w:val="0"/>
          <w:strike w:val="0"/>
          <w:sz w:val="20"/>
          <w:u w:val="none"/>
        </w:rPr>
        <w:t>https://minnesotalawreview.org/2017/10/29/patent-apocalypse/]//LASA-AB</w:t>
      </w:r>
    </w:p>
    <w:p>
      <w:pPr>
        <w:spacing w:after="60"/>
      </w:pPr>
      <w:r>
        <w:rPr>
          <w:b w:val="0"/>
          <w:i w:val="0"/>
          <w:smallCaps w:val="0"/>
          <w:strike w:val="0"/>
          <w:sz w:val="16"/>
          <w:u w:val="none"/>
        </w:rPr>
        <w:t xml:space="preserve">Of course, </w:t>
      </w:r>
      <w:r>
        <w:rPr>
          <w:b w:val="0"/>
          <w:i w:val="0"/>
          <w:smallCaps w:val="0"/>
          <w:strike w:val="0"/>
          <w:sz w:val="20"/>
          <w:highlight w:val="cyan"/>
          <w:u w:val="single"/>
        </w:rPr>
        <w:t>patent holders</w:t>
      </w:r>
      <w:r>
        <w:rPr>
          <w:b w:val="0"/>
          <w:i w:val="0"/>
          <w:smallCaps w:val="0"/>
          <w:strike w:val="0"/>
          <w:sz w:val="20"/>
          <w:u w:val="single"/>
        </w:rPr>
        <w:t xml:space="preserve"> would </w:t>
      </w:r>
      <w:r>
        <w:rPr>
          <w:b w:val="0"/>
          <w:i w:val="0"/>
          <w:smallCaps w:val="0"/>
          <w:strike w:val="0"/>
          <w:sz w:val="20"/>
          <w:highlight w:val="cyan"/>
          <w:u w:val="single"/>
        </w:rPr>
        <w:t>prefer to test</w:t>
      </w:r>
      <w:r>
        <w:rPr>
          <w:b w:val="0"/>
          <w:i w:val="0"/>
          <w:smallCaps w:val="0"/>
          <w:strike w:val="0"/>
          <w:sz w:val="16"/>
          <w:u w:val="none"/>
        </w:rPr>
        <w:t xml:space="preserve"> the validity of </w:t>
      </w:r>
      <w:r>
        <w:rPr>
          <w:b w:val="0"/>
          <w:i w:val="0"/>
          <w:smallCaps w:val="0"/>
          <w:strike w:val="0"/>
          <w:sz w:val="20"/>
          <w:u w:val="single"/>
        </w:rPr>
        <w:t xml:space="preserve">their patent </w:t>
      </w:r>
      <w:r>
        <w:rPr>
          <w:b w:val="0"/>
          <w:i w:val="0"/>
          <w:smallCaps w:val="0"/>
          <w:strike w:val="0"/>
          <w:sz w:val="20"/>
          <w:highlight w:val="cyan"/>
          <w:u w:val="single"/>
        </w:rPr>
        <w:t>claims under the</w:t>
      </w:r>
      <w:r>
        <w:rPr>
          <w:b w:val="0"/>
          <w:i w:val="0"/>
          <w:smallCaps w:val="0"/>
          <w:strike w:val="0"/>
          <w:sz w:val="20"/>
          <w:u w:val="single"/>
        </w:rPr>
        <w:t xml:space="preserve"> due process requirements of federal </w:t>
      </w:r>
      <w:r>
        <w:rPr>
          <w:b w:val="0"/>
          <w:i w:val="0"/>
          <w:smallCaps w:val="0"/>
          <w:strike w:val="0"/>
          <w:sz w:val="20"/>
          <w:highlight w:val="cyan"/>
          <w:u w:val="single"/>
        </w:rPr>
        <w:t>courts</w:t>
      </w:r>
      <w:r>
        <w:rPr>
          <w:b w:val="0"/>
          <w:i w:val="0"/>
          <w:smallCaps w:val="0"/>
          <w:strike w:val="0"/>
          <w:sz w:val="16"/>
          <w:u w:val="none"/>
        </w:rPr>
        <w:t>.</w:t>
      </w:r>
      <w:r>
        <w:rPr>
          <w:b w:val="0"/>
          <w:i w:val="0"/>
          <w:smallCaps w:val="0"/>
          <w:strike w:val="0"/>
          <w:sz w:val="16"/>
          <w:u w:val="none"/>
        </w:rPr>
        <w:t>[21]</w:t>
      </w:r>
      <w:r>
        <w:rPr>
          <w:b w:val="0"/>
          <w:i w:val="0"/>
          <w:smallCaps w:val="0"/>
          <w:strike w:val="0"/>
          <w:sz w:val="16"/>
          <w:u w:val="none"/>
        </w:rPr>
        <w:t xml:space="preserve"> </w:t>
      </w:r>
      <w:r>
        <w:rPr>
          <w:b w:val="0"/>
          <w:i w:val="0"/>
          <w:smallCaps w:val="0"/>
          <w:strike w:val="0"/>
          <w:sz w:val="20"/>
          <w:highlight w:val="cyan"/>
          <w:u w:val="single"/>
        </w:rPr>
        <w:t>But</w:t>
      </w:r>
      <w:r>
        <w:rPr>
          <w:b w:val="0"/>
          <w:i w:val="0"/>
          <w:smallCaps w:val="0"/>
          <w:strike w:val="0"/>
          <w:sz w:val="16"/>
          <w:u w:val="none"/>
        </w:rPr>
        <w:t xml:space="preserve"> some </w:t>
      </w:r>
      <w:r>
        <w:rPr>
          <w:b w:val="0"/>
          <w:i w:val="0"/>
          <w:smallCaps w:val="0"/>
          <w:strike w:val="0"/>
          <w:sz w:val="20"/>
          <w:highlight w:val="cyan"/>
          <w:u w:val="single"/>
        </w:rPr>
        <w:t>patent holders in</w:t>
      </w:r>
      <w:r>
        <w:rPr>
          <w:b w:val="0"/>
          <w:i w:val="0"/>
          <w:smallCaps w:val="0"/>
          <w:strike w:val="0"/>
          <w:sz w:val="20"/>
          <w:u w:val="single"/>
        </w:rPr>
        <w:t xml:space="preserve"> parallel </w:t>
      </w:r>
      <w:r>
        <w:rPr>
          <w:b w:val="0"/>
          <w:i w:val="0"/>
          <w:smallCaps w:val="0"/>
          <w:strike w:val="0"/>
          <w:sz w:val="20"/>
          <w:highlight w:val="cyan"/>
          <w:u w:val="single"/>
        </w:rPr>
        <w:t>litigation have</w:t>
      </w:r>
      <w:r>
        <w:rPr>
          <w:b w:val="0"/>
          <w:i w:val="0"/>
          <w:smallCaps w:val="0"/>
          <w:strike w:val="0"/>
          <w:sz w:val="20"/>
          <w:u w:val="single"/>
        </w:rPr>
        <w:t xml:space="preserve"> also </w:t>
      </w:r>
      <w:r>
        <w:rPr>
          <w:b w:val="0"/>
          <w:i w:val="0"/>
          <w:smallCaps w:val="0"/>
          <w:strike w:val="0"/>
          <w:sz w:val="20"/>
          <w:highlight w:val="cyan"/>
          <w:u w:val="single"/>
        </w:rPr>
        <w:t>relied on</w:t>
      </w:r>
      <w:r>
        <w:rPr>
          <w:b w:val="0"/>
          <w:i w:val="0"/>
          <w:smallCaps w:val="0"/>
          <w:strike w:val="0"/>
          <w:sz w:val="20"/>
          <w:u w:val="single"/>
        </w:rPr>
        <w:t xml:space="preserve"> the broad </w:t>
      </w:r>
      <w:r>
        <w:rPr>
          <w:b w:val="0"/>
          <w:i w:val="0"/>
          <w:smallCaps w:val="0"/>
          <w:strike w:val="0"/>
          <w:sz w:val="20"/>
          <w:highlight w:val="cyan"/>
          <w:u w:val="single"/>
        </w:rPr>
        <w:t>IPR</w:t>
      </w:r>
      <w:r>
        <w:rPr>
          <w:b w:val="0"/>
          <w:i w:val="0"/>
          <w:smallCaps w:val="0"/>
          <w:strike w:val="0"/>
          <w:sz w:val="20"/>
          <w:u w:val="single"/>
        </w:rPr>
        <w:t xml:space="preserve"> estoppel</w:t>
      </w:r>
      <w:r>
        <w:rPr>
          <w:b w:val="0"/>
          <w:i w:val="0"/>
          <w:smallCaps w:val="0"/>
          <w:strike w:val="0"/>
          <w:sz w:val="20"/>
          <w:u w:val="single"/>
        </w:rPr>
        <w:t xml:space="preserve"> provisions of the AIA</w:t>
      </w:r>
      <w:r>
        <w:rPr>
          <w:b w:val="0"/>
          <w:i w:val="0"/>
          <w:smallCaps w:val="0"/>
          <w:strike w:val="0"/>
          <w:sz w:val="16"/>
          <w:u w:val="none"/>
        </w:rPr>
        <w:t>.</w:t>
      </w:r>
      <w:r>
        <w:rPr>
          <w:b w:val="0"/>
          <w:i w:val="0"/>
          <w:smallCaps w:val="0"/>
          <w:strike w:val="0"/>
          <w:sz w:val="16"/>
          <w:u w:val="none"/>
        </w:rPr>
        <w:t>[22]</w:t>
      </w:r>
      <w:r>
        <w:rPr>
          <w:b w:val="0"/>
          <w:i w:val="0"/>
          <w:smallCaps w:val="0"/>
          <w:strike w:val="0"/>
          <w:sz w:val="16"/>
          <w:u w:val="none"/>
        </w:rPr>
        <w:t xml:space="preserve"> </w:t>
      </w:r>
      <w:r>
        <w:rPr>
          <w:b w:val="0"/>
          <w:i w:val="0"/>
          <w:smallCaps w:val="0"/>
          <w:strike w:val="0"/>
          <w:sz w:val="20"/>
          <w:u w:val="single"/>
        </w:rPr>
        <w:t xml:space="preserve">Assuming these provisions would also be severed from the AIA, </w:t>
      </w:r>
      <w:r>
        <w:rPr>
          <w:b w:val="0"/>
          <w:i w:val="0"/>
          <w:smallCaps w:val="0"/>
          <w:strike w:val="0"/>
          <w:sz w:val="20"/>
          <w:highlight w:val="cyan"/>
          <w:u w:val="single"/>
        </w:rPr>
        <w:t>retroactivity could</w:t>
      </w:r>
      <w:r>
        <w:rPr>
          <w:b w:val="0"/>
          <w:i w:val="0"/>
          <w:smallCaps w:val="0"/>
          <w:strike w:val="0"/>
          <w:sz w:val="20"/>
          <w:u w:val="single"/>
        </w:rPr>
        <w:t xml:space="preserve"> now </w:t>
      </w:r>
      <w:r>
        <w:rPr>
          <w:b w:val="0"/>
          <w:i w:val="0"/>
          <w:smallCaps w:val="0"/>
          <w:strike w:val="0"/>
          <w:sz w:val="20"/>
          <w:highlight w:val="cyan"/>
          <w:u w:val="single"/>
        </w:rPr>
        <w:t>make previously barred defenses available</w:t>
      </w:r>
      <w:r>
        <w:rPr>
          <w:b w:val="0"/>
          <w:i w:val="0"/>
          <w:smallCaps w:val="0"/>
          <w:strike w:val="0"/>
          <w:sz w:val="20"/>
          <w:u w:val="single"/>
        </w:rPr>
        <w:t xml:space="preserve"> in federal court</w:t>
      </w:r>
      <w:r>
        <w:rPr>
          <w:b w:val="0"/>
          <w:i w:val="0"/>
          <w:smallCaps w:val="0"/>
          <w:strike w:val="0"/>
          <w:sz w:val="16"/>
          <w:u w:val="none"/>
        </w:rPr>
        <w:t>. Moreover, although vacated, the PTAB’s invalidity determination based on the prior art may leave patent holders questioning the value of their previously dead patent. Would it still be subject to invalidity through reexamination by the USPTO—the same agency that already previously invalidated the patent?</w:t>
      </w:r>
      <w:r>
        <w:rPr>
          <w:b w:val="0"/>
          <w:i w:val="0"/>
          <w:smallCaps w:val="0"/>
          <w:strike w:val="0"/>
          <w:sz w:val="16"/>
          <w:u w:val="none"/>
        </w:rPr>
        <w:t>[23]</w:t>
      </w:r>
      <w:r>
        <w:rPr>
          <w:b w:val="0"/>
          <w:i w:val="0"/>
          <w:smallCaps w:val="0"/>
          <w:strike w:val="0"/>
          <w:sz w:val="16"/>
          <w:u w:val="none"/>
        </w:rPr>
        <w:t xml:space="preserve"> Is the patent worth trying to enforce? Even if patent holders find themselves with a patent seemingly back from the dead, it may not be the same as it once was. While many patent holders may disagree with a prospective application of an unconstitutional ruling in Oil States, it still may be the most equitable result.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