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De novo review </w:t>
      </w:r>
      <w:r>
        <w:rPr>
          <w:b/>
          <w:i w:val="0"/>
          <w:smallCaps w:val="0"/>
          <w:strike w:val="0"/>
          <w:sz w:val="24"/>
          <w:u w:val="single"/>
        </w:rPr>
        <w:t>crushes</w:t>
      </w:r>
      <w:r>
        <w:rPr>
          <w:b/>
          <w:i w:val="0"/>
          <w:smallCaps w:val="0"/>
          <w:strike w:val="0"/>
          <w:sz w:val="24"/>
          <w:u w:val="none"/>
        </w:rPr>
        <w:t xml:space="preserve"> court efficiency 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Thomas W. </w:t>
      </w:r>
      <w:r>
        <w:rPr>
          <w:b/>
          <w:i w:val="0"/>
          <w:smallCaps w:val="0"/>
          <w:strike w:val="0"/>
          <w:sz w:val="24"/>
          <w:u w:val="none"/>
        </w:rPr>
        <w:t>Merrill ’24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[JD University of Chicago Law School, BA University of Oxford, BA Grinnell College, deputy solicitor general of the US Department of Justice, associate at Sidley &amp; Austin LLP, 1/11/2024, “</w:t>
      </w:r>
      <w:r>
        <w:rPr>
          <w:b w:val="0"/>
          <w:i w:val="0"/>
          <w:smallCaps w:val="0"/>
          <w:strike w:val="0"/>
          <w:sz w:val="20"/>
          <w:u w:val="none"/>
        </w:rPr>
        <w:t>Professor Thomas W. Merrill on the Future of the Chevron Doctrine</w:t>
      </w:r>
      <w:r>
        <w:rPr>
          <w:b w:val="0"/>
          <w:i w:val="0"/>
          <w:smallCaps w:val="0"/>
          <w:strike w:val="0"/>
          <w:sz w:val="20"/>
          <w:u w:val="none"/>
        </w:rPr>
        <w:t>”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, MP3]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most important clarification of step one is that courts must determine, in the exercise of independent judgment,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Congress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has actually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delegated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authority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agency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interpret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legal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provision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question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is implicit in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(2001), which held that Chevron deference only applies if the agency acts with the force of law in rendering its interpretation.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agency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cannot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act with the “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force of law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unless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 has been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actually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delegated authority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interpret the provision in question.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Step two should be clarified by holding that a “reasonable” interpretation is one that takes into account reliance interests created by past interpretations and is rendered in a format that allows for meaningful public participation, such as notice-and-comment rulemaking.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will be the implications for previously decided cases if the court strikes down or weakens Chevron?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S</w:t>
      </w:r>
      <w:r>
        <w:rPr>
          <w:b w:val="0"/>
          <w:i w:val="0"/>
          <w:smallCaps w:val="0"/>
          <w:strike w:val="0"/>
          <w:sz w:val="20"/>
          <w:u w:val="single"/>
        </w:rPr>
        <w:t>upreme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ourt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has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institutional capacity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decide every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case involving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disputed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issue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comes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before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 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 novo</w:t>
      </w:r>
      <w:r>
        <w:rPr>
          <w:b w:val="0"/>
          <w:i w:val="0"/>
          <w:smallCaps w:val="0"/>
          <w:strike w:val="0"/>
          <w:sz w:val="16"/>
          <w:u w:val="none"/>
        </w:rPr>
        <w:t>—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without giving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weight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the views of the implementing agency</w:t>
      </w:r>
      <w:r>
        <w:rPr>
          <w:b w:val="0"/>
          <w:i w:val="0"/>
          <w:smallCaps w:val="0"/>
          <w:strike w:val="0"/>
          <w:sz w:val="16"/>
          <w:u w:val="none"/>
        </w:rPr>
        <w:t>. This “solution” to the criticisms of Chevron has an appealing simplicity and, as things stand, requires the Supreme Court to wade into only a handful of complex regulatory statutes each year. But the lower federal courts hear many hundreds of such cases for each one the Supreme Court takes 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court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appeals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were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required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apply 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novo review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every questio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 of law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that arises in a </w:t>
      </w:r>
      <w:r>
        <w:rPr>
          <w:b w:val="0"/>
          <w:i w:val="0"/>
          <w:smallCaps w:val="0"/>
          <w:strike w:val="0"/>
          <w:sz w:val="20"/>
          <w:u w:val="single"/>
        </w:rPr>
        <w:t>regulatory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context,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courts of appeals would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overwhelmed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It would almost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certainly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generate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more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circuit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conflicts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we see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today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So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lower courts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need some kind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deference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doctrine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out of a sheer instinct for self-preservation,” as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of Boston University School of Law 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So, my biggest concern is that the Supreme Court will come up with a new doctrine that works for it but ignores the different circumstances of the lower courts.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