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 Trolls are </w:t>
      </w:r>
      <w:r>
        <w:rPr>
          <w:b/>
          <w:i w:val="0"/>
          <w:smallCaps w:val="0"/>
          <w:strike w:val="0"/>
          <w:sz w:val="24"/>
          <w:u w:val="single"/>
        </w:rPr>
        <w:t>low now</w:t>
      </w:r>
      <w:r>
        <w:rPr>
          <w:b/>
          <w:i w:val="0"/>
          <w:smallCaps w:val="0"/>
          <w:strike w:val="0"/>
          <w:sz w:val="24"/>
          <w:u w:val="none"/>
        </w:rPr>
        <w:t>---Injunction rates are at a decade low</w:t>
      </w:r>
    </w:p>
    <w:p>
      <w:pPr>
        <w:spacing w:after="80"/>
      </w:pPr>
      <w:r>
        <w:rPr>
          <w:b w:val="0"/>
          <w:i w:val="0"/>
          <w:smallCaps w:val="0"/>
          <w:strike w:val="0"/>
          <w:sz w:val="20"/>
          <w:u w:val="none"/>
        </w:rPr>
        <w:t>NOTE---NPEs are the same thing as Patent Trolls</w:t>
      </w:r>
    </w:p>
    <w:p>
      <w:pPr>
        <w:spacing w:after="60"/>
      </w:pPr>
      <w:r>
        <w:rPr>
          <w:b w:val="0"/>
          <w:i w:val="0"/>
          <w:smallCaps w:val="0"/>
          <w:strike w:val="0"/>
          <w:sz w:val="20"/>
          <w:u w:val="none"/>
        </w:rPr>
        <w:t xml:space="preserve">Julie </w:t>
      </w:r>
      <w:r>
        <w:rPr>
          <w:b/>
          <w:i w:val="0"/>
          <w:smallCaps w:val="0"/>
          <w:strike w:val="0"/>
          <w:sz w:val="24"/>
          <w:u w:val="none"/>
        </w:rPr>
        <w:t>Carlson</w:t>
      </w:r>
      <w:r>
        <w:rPr>
          <w:b w:val="0"/>
          <w:i w:val="0"/>
          <w:smallCaps w:val="0"/>
          <w:strike w:val="0"/>
          <w:sz w:val="20"/>
          <w:u w:val="none"/>
        </w:rPr>
        <w:t xml:space="preserve"> </w:t>
      </w:r>
      <w:r>
        <w:rPr>
          <w:b/>
          <w:i w:val="0"/>
          <w:smallCaps w:val="0"/>
          <w:strike w:val="0"/>
          <w:sz w:val="24"/>
          <w:u w:val="none"/>
        </w:rPr>
        <w:t>5/6</w:t>
      </w:r>
      <w:r>
        <w:rPr>
          <w:b w:val="0"/>
          <w:i w:val="0"/>
          <w:smallCaps w:val="0"/>
          <w:strike w:val="0"/>
          <w:sz w:val="20"/>
          <w:u w:val="none"/>
        </w:rPr>
        <w:t xml:space="preserve"> 2024 (Julie Carlson is Director of Economic Strategy at Qualcomm. Her work focuses on, analyzing policy issues related to intellectual property, standardization, and innovation. Prior to, joining Qualcomm, she was Associate Director for Antitrust and Innovation Policy at the, Information Technology and Innovation Foundation. Julie also served as a senior staff economist, in the Bureau of Economics at the Federal Trade Commission where she assisted with, anticompetitive conduct investigations of technology firms, participated in agency advocacy, and, contributed to agency reports including the FTC report on patent assertion entity activity, 5/6/24, "</w:t>
      </w:r>
      <w:r>
        <w:rPr>
          <w:b w:val="0"/>
          <w:i w:val="0"/>
          <w:smallCaps w:val="0"/>
          <w:strike w:val="0"/>
          <w:sz w:val="20"/>
          <w:u w:val="none"/>
        </w:rPr>
        <w:t>New Data Show There Is a Problem with the U.S. Patent System—But It’s Not Patent Trolls</w:t>
      </w:r>
      <w:r>
        <w:rPr>
          <w:b w:val="0"/>
          <w:i w:val="0"/>
          <w:smallCaps w:val="0"/>
          <w:strike w:val="0"/>
          <w:sz w:val="20"/>
          <w:u w:val="none"/>
        </w:rPr>
        <w:t xml:space="preserve">", </w:t>
      </w:r>
      <w:r>
        <w:rPr>
          <w:b w:val="0"/>
          <w:i w:val="0"/>
          <w:smallCaps w:val="0"/>
          <w:strike w:val="0"/>
          <w:sz w:val="20"/>
          <w:u w:val="none"/>
        </w:rPr>
        <w:t>https://ipwatchdog.com/2024/05/06/new-data-show-problem-us-patent-system-not-patent-trolls/id=176149/</w:t>
      </w:r>
      <w:r>
        <w:rPr>
          <w:b w:val="0"/>
          <w:i w:val="0"/>
          <w:smallCaps w:val="0"/>
          <w:strike w:val="0"/>
          <w:sz w:val="20"/>
          <w:u w:val="none"/>
        </w:rPr>
        <w:t>)//rohan</w:t>
      </w:r>
    </w:p>
    <w:p>
      <w:pPr>
        <w:spacing w:after="60"/>
      </w:pPr>
      <w:r>
        <w:rPr>
          <w:b w:val="0"/>
          <w:i w:val="0"/>
          <w:smallCaps w:val="0"/>
          <w:strike w:val="0"/>
          <w:sz w:val="20"/>
          <w:u w:val="none"/>
        </w:rPr>
        <w:t xml:space="preserve">The Marcum report provides further evidence of the pernicious effect the U.S. Supreme Court’s eBay decision has had on the ability of patent owners to enforce the exclusionary right embodied in their patent. </w:t>
      </w:r>
      <w:r>
        <w:rPr>
          <w:b w:val="0"/>
          <w:i w:val="0"/>
          <w:smallCaps w:val="0"/>
          <w:strike w:val="0"/>
          <w:sz w:val="20"/>
          <w:u w:val="single"/>
        </w:rPr>
        <w:t xml:space="preserve">Prior research has shown that </w:t>
      </w:r>
      <w:r>
        <w:rPr>
          <w:b w:val="0"/>
          <w:i w:val="0"/>
          <w:smallCaps w:val="0"/>
          <w:strike w:val="0"/>
          <w:sz w:val="20"/>
          <w:highlight w:val="cyan"/>
          <w:u w:val="single"/>
        </w:rPr>
        <w:t xml:space="preserve">patent owners </w:t>
      </w:r>
      <w:r>
        <w:rPr>
          <w:b w:val="0"/>
          <w:i w:val="0"/>
          <w:smallCaps w:val="0"/>
          <w:strike w:val="0"/>
          <w:sz w:val="20"/>
          <w:u w:val="single"/>
        </w:rPr>
        <w:t xml:space="preserve">are </w:t>
      </w:r>
      <w:r>
        <w:rPr>
          <w:b w:val="0"/>
          <w:i w:val="0"/>
          <w:smallCaps w:val="0"/>
          <w:strike w:val="0"/>
          <w:sz w:val="20"/>
          <w:highlight w:val="cyan"/>
          <w:u w:val="single"/>
        </w:rPr>
        <w:t xml:space="preserve">less likely to seek injunctions </w:t>
      </w:r>
      <w:r>
        <w:rPr>
          <w:b w:val="0"/>
          <w:i w:val="0"/>
          <w:smallCaps w:val="0"/>
          <w:strike w:val="0"/>
          <w:sz w:val="20"/>
          <w:u w:val="single"/>
        </w:rPr>
        <w:t xml:space="preserve">and </w:t>
      </w:r>
      <w:r>
        <w:rPr>
          <w:b w:val="0"/>
          <w:i w:val="0"/>
          <w:smallCaps w:val="0"/>
          <w:strike w:val="0"/>
          <w:sz w:val="20"/>
          <w:highlight w:val="cyan"/>
          <w:u w:val="single"/>
        </w:rPr>
        <w:t xml:space="preserve">those injunctions are less likely to be granted </w:t>
      </w:r>
      <w:r>
        <w:rPr>
          <w:b w:val="0"/>
          <w:i w:val="0"/>
          <w:smallCaps w:val="0"/>
          <w:strike w:val="0"/>
          <w:sz w:val="20"/>
          <w:u w:val="single"/>
        </w:rPr>
        <w:t>following eBay.</w:t>
      </w:r>
      <w:r>
        <w:rPr>
          <w:b w:val="0"/>
          <w:i w:val="0"/>
          <w:smallCaps w:val="0"/>
          <w:strike w:val="0"/>
          <w:sz w:val="20"/>
          <w:u w:val="none"/>
        </w:rPr>
        <w:t xml:space="preserve"> It should be no surprise then that there has been a </w:t>
      </w:r>
      <w:r>
        <w:rPr>
          <w:b w:val="0"/>
          <w:i w:val="0"/>
          <w:smallCaps w:val="0"/>
          <w:strike w:val="0"/>
          <w:sz w:val="20"/>
          <w:highlight w:val="cyan"/>
          <w:u w:val="single"/>
        </w:rPr>
        <w:t xml:space="preserve">significant decline in injunction </w:t>
      </w:r>
      <w:r>
        <w:rPr>
          <w:b w:val="0"/>
          <w:i w:val="0"/>
          <w:smallCaps w:val="0"/>
          <w:strike w:val="0"/>
          <w:sz w:val="20"/>
          <w:u w:val="single"/>
        </w:rPr>
        <w:t xml:space="preserve">grants </w:t>
      </w:r>
      <w:r>
        <w:rPr>
          <w:b w:val="0"/>
          <w:i w:val="0"/>
          <w:smallCaps w:val="0"/>
          <w:strike w:val="0"/>
          <w:sz w:val="20"/>
          <w:highlight w:val="cyan"/>
          <w:u w:val="single"/>
        </w:rPr>
        <w:t>over the last 15 years</w:t>
      </w:r>
      <w:r>
        <w:rPr>
          <w:b w:val="0"/>
          <w:i w:val="0"/>
          <w:smallCaps w:val="0"/>
          <w:strike w:val="0"/>
          <w:sz w:val="20"/>
          <w:u w:val="none"/>
        </w:rPr>
        <w:t xml:space="preserve">. The Marcum report focuses on injunction grants excluding default judgments. They note that “cases with default judgments do not typically represent contested disputes” as the defendant has failed “to take required actions or respond to court proceedings.” </w:t>
      </w:r>
      <w:r>
        <w:rPr>
          <w:b w:val="0"/>
          <w:i w:val="0"/>
          <w:smallCaps w:val="0"/>
          <w:strike w:val="0"/>
          <w:sz w:val="20"/>
          <w:u w:val="single"/>
        </w:rPr>
        <w:t xml:space="preserve">The report shows that </w:t>
      </w:r>
      <w:r>
        <w:rPr>
          <w:b w:val="0"/>
          <w:i w:val="0"/>
          <w:smallCaps w:val="0"/>
          <w:strike w:val="0"/>
          <w:sz w:val="20"/>
          <w:highlight w:val="cyan"/>
          <w:u w:val="single"/>
        </w:rPr>
        <w:t xml:space="preserve">injunction grants </w:t>
      </w:r>
      <w:r>
        <w:rPr>
          <w:b w:val="0"/>
          <w:i w:val="0"/>
          <w:smallCaps w:val="0"/>
          <w:strike w:val="0"/>
          <w:sz w:val="20"/>
          <w:u w:val="single"/>
        </w:rPr>
        <w:t xml:space="preserve">(excluding default judgments) </w:t>
      </w:r>
      <w:r>
        <w:rPr>
          <w:b w:val="0"/>
          <w:i w:val="0"/>
          <w:smallCaps w:val="0"/>
          <w:strike w:val="0"/>
          <w:sz w:val="20"/>
          <w:highlight w:val="cyan"/>
          <w:u w:val="single"/>
        </w:rPr>
        <w:t xml:space="preserve">have fallen from a peak of 80 </w:t>
      </w:r>
      <w:r>
        <w:rPr>
          <w:b w:val="0"/>
          <w:i w:val="0"/>
          <w:smallCaps w:val="0"/>
          <w:strike w:val="0"/>
          <w:sz w:val="20"/>
          <w:u w:val="single"/>
        </w:rPr>
        <w:t xml:space="preserve">in the period 2008 to 2012 </w:t>
      </w:r>
      <w:r>
        <w:rPr>
          <w:b w:val="0"/>
          <w:i w:val="0"/>
          <w:smallCaps w:val="0"/>
          <w:strike w:val="0"/>
          <w:sz w:val="20"/>
          <w:highlight w:val="cyan"/>
          <w:u w:val="single"/>
        </w:rPr>
        <w:t xml:space="preserve">to just 36 </w:t>
      </w:r>
      <w:r>
        <w:rPr>
          <w:b w:val="0"/>
          <w:i w:val="0"/>
          <w:smallCaps w:val="0"/>
          <w:strike w:val="0"/>
          <w:sz w:val="20"/>
          <w:u w:val="single"/>
        </w:rPr>
        <w:t>in the period 2018 to 2022.</w:t>
      </w:r>
      <w:r>
        <w:rPr>
          <w:b w:val="0"/>
          <w:i w:val="0"/>
          <w:smallCaps w:val="0"/>
          <w:strike w:val="0"/>
          <w:sz w:val="20"/>
          <w:u w:val="none"/>
        </w:rPr>
        <w:t xml:space="preserve"> That is, in the most recent period, there is an average of just seven injunctions per year—less than half the average in the earlier period. In addition to a low level of injunctions, enhancement of damages is rare. Only 22% of remedies awards were enhanced due to a finding of willful infringement.</w:t>
      </w:r>
    </w:p>
    <w:p>
      <w:pPr>
        <w:spacing w:after="60"/>
      </w:pPr>
      <w:r>
        <w:rPr>
          <w:b w:val="0"/>
          <w:i w:val="0"/>
          <w:smallCaps w:val="0"/>
          <w:strike w:val="0"/>
          <w:sz w:val="20"/>
          <w:u w:val="none"/>
        </w:rPr>
        <w:t>NPE Litigation Is Not Pervasive</w:t>
      </w:r>
    </w:p>
    <w:p>
      <w:pPr>
        <w:spacing w:after="60"/>
      </w:pPr>
      <w:r>
        <w:rPr>
          <w:b w:val="0"/>
          <w:i w:val="0"/>
          <w:smallCaps w:val="0"/>
          <w:strike w:val="0"/>
          <w:sz w:val="20"/>
          <w:u w:val="single"/>
        </w:rPr>
        <w:t xml:space="preserve">If the anecdotes are to be believed, </w:t>
      </w:r>
      <w:r>
        <w:rPr>
          <w:b w:val="0"/>
          <w:i w:val="0"/>
          <w:smallCaps w:val="0"/>
          <w:strike w:val="0"/>
          <w:sz w:val="20"/>
          <w:highlight w:val="cyan"/>
          <w:u w:val="single"/>
        </w:rPr>
        <w:t>not only is patent litigation excessive but it is being driven by “patent trolls.”</w:t>
      </w:r>
      <w:r>
        <w:rPr>
          <w:b w:val="0"/>
          <w:i w:val="0"/>
          <w:smallCaps w:val="0"/>
          <w:strike w:val="0"/>
          <w:sz w:val="20"/>
          <w:u w:val="single"/>
        </w:rPr>
        <w:t xml:space="preserve"> Patent trolls or, less pejoratively, PAEs, are patent owners who acquire patents and then assert them against alleged infringers.</w:t>
      </w:r>
      <w:r>
        <w:rPr>
          <w:b w:val="0"/>
          <w:i w:val="0"/>
          <w:smallCaps w:val="0"/>
          <w:strike w:val="0"/>
          <w:sz w:val="20"/>
          <w:u w:val="none"/>
        </w:rPr>
        <w:t xml:space="preserve"> The Marcum report casts a broader net and examines the remedies available to all NPEs which includes PAEs but also includes individuals, universities, and research entities. They find that over the 20 years of their study, only 23% of remedies were awarded to NPEs. Furthermore, the impact of eBay has been even more dramatic for NPEs. As a result of eBay, </w:t>
      </w:r>
      <w:r>
        <w:rPr>
          <w:b w:val="0"/>
          <w:i w:val="0"/>
          <w:smallCaps w:val="0"/>
          <w:strike w:val="0"/>
          <w:sz w:val="20"/>
          <w:highlight w:val="cyan"/>
          <w:u w:val="single"/>
        </w:rPr>
        <w:t>injunctions are effectively unavailable to NPEs</w:t>
      </w:r>
      <w:r>
        <w:rPr>
          <w:b w:val="0"/>
          <w:i w:val="0"/>
          <w:smallCaps w:val="0"/>
          <w:strike w:val="0"/>
          <w:sz w:val="20"/>
          <w:highlight w:val="cyan"/>
          <w:u w:val="none"/>
        </w:rPr>
        <w:t xml:space="preserve"> </w:t>
      </w:r>
      <w:r>
        <w:rPr>
          <w:b w:val="0"/>
          <w:i w:val="0"/>
          <w:smallCaps w:val="0"/>
          <w:strike w:val="0"/>
          <w:sz w:val="20"/>
          <w:u w:val="none"/>
        </w:rPr>
        <w:t>with only 12 injunction grants (excluding default judgments) over the last 10 years of the study. As damages are effectively the only remedy available to NPEs, it is unsurprising that Marcum finds that median damage awards to NPEs tend to be higher than the awards to practicing entities. However, the median damage awards to NPEs (excluding default judgments) have declined approximately 25-30%from their peak in the period 2008 to 2012.</w:t>
      </w:r>
    </w:p>
    <w:p>
      <w:pPr>
        <w:spacing w:after="60"/>
      </w:pPr>
      <w:r>
        <w:rPr>
          <w:b w:val="0"/>
          <w:i w:val="0"/>
          <w:smallCaps w:val="0"/>
          <w:strike w:val="0"/>
          <w:sz w:val="20"/>
          <w:u w:val="none"/>
        </w:rPr>
        <w:t xml:space="preserve">The Marcum report shows that </w:t>
      </w:r>
      <w:r>
        <w:rPr>
          <w:b w:val="0"/>
          <w:i w:val="0"/>
          <w:smallCaps w:val="0"/>
          <w:strike w:val="0"/>
          <w:sz w:val="20"/>
          <w:highlight w:val="cyan"/>
          <w:u w:val="single"/>
        </w:rPr>
        <w:t>there is indeed something wrong</w:t>
      </w:r>
      <w:r>
        <w:rPr>
          <w:b w:val="0"/>
          <w:i w:val="0"/>
          <w:smallCaps w:val="0"/>
          <w:strike w:val="0"/>
          <w:sz w:val="20"/>
          <w:highlight w:val="cyan"/>
          <w:u w:val="none"/>
        </w:rPr>
        <w:t xml:space="preserve"> </w:t>
      </w:r>
      <w:r>
        <w:rPr>
          <w:b w:val="0"/>
          <w:i w:val="0"/>
          <w:smallCaps w:val="0"/>
          <w:strike w:val="0"/>
          <w:sz w:val="20"/>
          <w:u w:val="none"/>
        </w:rPr>
        <w:t xml:space="preserve">with the patent system in the United States </w:t>
      </w:r>
      <w:r>
        <w:rPr>
          <w:b w:val="0"/>
          <w:i w:val="0"/>
          <w:smallCaps w:val="0"/>
          <w:strike w:val="0"/>
          <w:sz w:val="20"/>
          <w:u w:val="single"/>
        </w:rPr>
        <w:t xml:space="preserve">but </w:t>
      </w:r>
      <w:r>
        <w:rPr>
          <w:b w:val="0"/>
          <w:i w:val="0"/>
          <w:smallCaps w:val="0"/>
          <w:strike w:val="0"/>
          <w:sz w:val="20"/>
          <w:highlight w:val="cyan"/>
          <w:u w:val="single"/>
        </w:rPr>
        <w:t xml:space="preserve">it’s not </w:t>
      </w:r>
      <w:r>
        <w:rPr>
          <w:b w:val="0"/>
          <w:i w:val="0"/>
          <w:smallCaps w:val="0"/>
          <w:strike w:val="0"/>
          <w:sz w:val="20"/>
          <w:u w:val="single"/>
        </w:rPr>
        <w:t xml:space="preserve">excessive litigation or </w:t>
      </w:r>
      <w:r>
        <w:rPr>
          <w:b w:val="0"/>
          <w:i w:val="0"/>
          <w:smallCaps w:val="0"/>
          <w:strike w:val="0"/>
          <w:sz w:val="20"/>
          <w:highlight w:val="cyan"/>
          <w:u w:val="single"/>
        </w:rPr>
        <w:t>patent trolls</w:t>
      </w:r>
      <w:r>
        <w:rPr>
          <w:b w:val="0"/>
          <w:i w:val="0"/>
          <w:smallCaps w:val="0"/>
          <w:strike w:val="0"/>
          <w:sz w:val="20"/>
          <w:u w:val="none"/>
        </w:rPr>
        <w:t xml:space="preserve">. </w:t>
      </w:r>
      <w:r>
        <w:rPr>
          <w:b w:val="0"/>
          <w:i w:val="0"/>
          <w:smallCaps w:val="0"/>
          <w:strike w:val="0"/>
          <w:sz w:val="20"/>
          <w:u w:val="single"/>
        </w:rPr>
        <w:t xml:space="preserve">The real problem is the </w:t>
      </w:r>
      <w:r>
        <w:rPr>
          <w:b w:val="0"/>
          <w:i w:val="0"/>
          <w:smallCaps w:val="0"/>
          <w:strike w:val="0"/>
          <w:sz w:val="20"/>
          <w:highlight w:val="cyan"/>
          <w:u w:val="single"/>
        </w:rPr>
        <w:t>inability of patent owners to enforce their rights against infringers</w:t>
      </w:r>
      <w:r>
        <w:rPr>
          <w:b w:val="0"/>
          <w:i w:val="0"/>
          <w:smallCaps w:val="0"/>
          <w:strike w:val="0"/>
          <w:sz w:val="20"/>
          <w:u w:val="single"/>
        </w:rPr>
        <w:t>. Given the difficulty of obtaining injunctive relief and the limited enhancement of damages, it is unsurprising that predatory infringement has become a standard business practice when, at worst, all an infringer can be expected to pay is a reasonable royalty and, at best, nothing at all</w:t>
      </w:r>
      <w:r>
        <w:rPr>
          <w:b w:val="0"/>
          <w:i w:val="0"/>
          <w:smallCaps w:val="0"/>
          <w:strike w:val="0"/>
          <w:sz w:val="20"/>
          <w:u w:val="none"/>
        </w:rPr>
        <w: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