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Patent protections are vulnerable to trolls</w:t>
      </w:r>
    </w:p>
    <w:p>
      <w:pPr>
        <w:spacing w:after="80"/>
      </w:pPr>
      <w:r>
        <w:rPr>
          <w:b w:val="0"/>
          <w:i w:val="0"/>
          <w:smallCaps w:val="0"/>
          <w:strike w:val="0"/>
          <w:sz w:val="20"/>
          <w:u w:val="none"/>
        </w:rPr>
        <w:t>Roslyn</w:t>
      </w:r>
      <w:r>
        <w:rPr>
          <w:b/>
          <w:i w:val="0"/>
          <w:smallCaps w:val="0"/>
          <w:strike w:val="0"/>
          <w:sz w:val="24"/>
          <w:u w:val="none"/>
        </w:rPr>
        <w:t xml:space="preserve"> Layton</w:t>
      </w:r>
      <w:r>
        <w:rPr>
          <w:b/>
          <w:i w:val="0"/>
          <w:smallCaps w:val="0"/>
          <w:strike w:val="0"/>
          <w:sz w:val="24"/>
          <w:u w:val="none"/>
        </w:rPr>
        <w:t xml:space="preserve"> </w:t>
      </w:r>
      <w:r>
        <w:rPr>
          <w:b w:val="0"/>
          <w:i w:val="0"/>
          <w:smallCaps w:val="0"/>
          <w:strike w:val="0"/>
          <w:sz w:val="20"/>
          <w:u w:val="none"/>
        </w:rPr>
        <w:t>20</w:t>
      </w:r>
      <w:r>
        <w:rPr>
          <w:b/>
          <w:i w:val="0"/>
          <w:smallCaps w:val="0"/>
          <w:strike w:val="0"/>
          <w:sz w:val="24"/>
          <w:u w:val="none"/>
        </w:rPr>
        <w:t>24</w:t>
      </w:r>
      <w:r>
        <w:rPr>
          <w:b/>
          <w:i w:val="0"/>
          <w:smallCaps w:val="0"/>
          <w:strike w:val="0"/>
          <w:sz w:val="24"/>
          <w:u w:val="none"/>
        </w:rPr>
        <w:t xml:space="preserve"> </w:t>
      </w:r>
      <w:r>
        <w:rPr>
          <w:b w:val="0"/>
          <w:i w:val="0"/>
          <w:smallCaps w:val="0"/>
          <w:strike w:val="0"/>
          <w:sz w:val="20"/>
          <w:u w:val="none"/>
        </w:rPr>
        <w:t>(Visiting Researcher at Aalborg University Center for Communication, Media and Information Technologies at Aalborg University where she earned a PhD in business economics and internet regulation</w:t>
      </w:r>
      <w:r>
        <w:rPr>
          <w:b w:val="0"/>
          <w:i w:val="0"/>
          <w:smallCaps w:val="0"/>
          <w:strike w:val="0"/>
          <w:sz w:val="20"/>
          <w:u w:val="none"/>
        </w:rPr>
        <w:t>, March 29 2024, "</w:t>
      </w:r>
      <w:r>
        <w:rPr>
          <w:b w:val="0"/>
          <w:i w:val="0"/>
          <w:smallCaps w:val="0"/>
          <w:strike w:val="0"/>
          <w:sz w:val="20"/>
          <w:u w:val="none"/>
        </w:rPr>
        <w:t>Patent Trolls Are Harming Innovation. Congress Can Help</w:t>
      </w:r>
      <w:r>
        <w:rPr>
          <w:b w:val="0"/>
          <w:i w:val="0"/>
          <w:smallCaps w:val="0"/>
          <w:strike w:val="0"/>
          <w:sz w:val="20"/>
          <w:u w:val="none"/>
        </w:rPr>
        <w:t xml:space="preserve">", </w:t>
      </w:r>
      <w:r>
        <w:rPr>
          <w:b w:val="0"/>
          <w:i w:val="0"/>
          <w:smallCaps w:val="0"/>
          <w:strike w:val="0"/>
          <w:sz w:val="20"/>
          <w:u w:val="none"/>
        </w:rPr>
        <w:t>https://www.pymnts.com/cpi-posts/patent-trolls-are-harming-innovation-congress-can-help/</w:t>
      </w:r>
      <w:r>
        <w:rPr>
          <w:b w:val="0"/>
          <w:i w:val="0"/>
          <w:smallCaps w:val="0"/>
          <w:strike w:val="0"/>
          <w:sz w:val="20"/>
          <w:u w:val="none"/>
        </w:rPr>
        <w:t>)//rohan</w:t>
      </w:r>
    </w:p>
    <w:p>
      <w:pPr>
        <w:spacing w:after="60"/>
      </w:pPr>
      <w:r>
        <w:rPr>
          <w:b w:val="0"/>
          <w:i w:val="0"/>
          <w:smallCaps w:val="0"/>
          <w:strike w:val="0"/>
          <w:sz w:val="20"/>
          <w:highlight w:val="cyan"/>
          <w:u w:val="single"/>
        </w:rPr>
        <w:t>America’s</w:t>
      </w:r>
      <w:r>
        <w:rPr>
          <w:b w:val="0"/>
          <w:i w:val="0"/>
          <w:smallCaps w:val="0"/>
          <w:strike w:val="0"/>
          <w:sz w:val="14"/>
          <w:highlight w:val="cyan"/>
          <w:u w:val="none"/>
        </w:rPr>
        <w:t xml:space="preserve"> </w:t>
      </w:r>
      <w:r>
        <w:rPr>
          <w:b w:val="0"/>
          <w:i w:val="0"/>
          <w:smallCaps w:val="0"/>
          <w:strike w:val="0"/>
          <w:sz w:val="14"/>
          <w:u w:val="none"/>
        </w:rPr>
        <w:t xml:space="preserve">vital </w:t>
      </w:r>
      <w:r>
        <w:rPr>
          <w:b w:val="0"/>
          <w:i w:val="0"/>
          <w:smallCaps w:val="0"/>
          <w:strike w:val="0"/>
          <w:sz w:val="20"/>
          <w:u w:val="single"/>
        </w:rPr>
        <w:t>system</w:t>
      </w:r>
      <w:r>
        <w:rPr>
          <w:b w:val="0"/>
          <w:i w:val="0"/>
          <w:smallCaps w:val="0"/>
          <w:strike w:val="0"/>
          <w:sz w:val="14"/>
          <w:u w:val="none"/>
        </w:rPr>
        <w:t xml:space="preserve"> </w:t>
      </w:r>
      <w:r>
        <w:rPr>
          <w:b w:val="0"/>
          <w:i w:val="0"/>
          <w:smallCaps w:val="0"/>
          <w:strike w:val="0"/>
          <w:sz w:val="20"/>
          <w:u w:val="single"/>
        </w:rPr>
        <w:t>of</w:t>
      </w:r>
      <w:r>
        <w:rPr>
          <w:b w:val="0"/>
          <w:i w:val="0"/>
          <w:smallCaps w:val="0"/>
          <w:strike w:val="0"/>
          <w:sz w:val="14"/>
          <w:u w:val="none"/>
        </w:rPr>
        <w:t xml:space="preserve"> </w:t>
      </w:r>
      <w:r>
        <w:rPr>
          <w:b w:val="0"/>
          <w:i w:val="0"/>
          <w:smallCaps w:val="0"/>
          <w:strike w:val="0"/>
          <w:sz w:val="20"/>
          <w:highlight w:val="cyan"/>
          <w:u w:val="single"/>
        </w:rPr>
        <w:t>patent protections</w:t>
      </w:r>
      <w:r>
        <w:rPr>
          <w:b w:val="0"/>
          <w:i w:val="0"/>
          <w:smallCaps w:val="0"/>
          <w:strike w:val="0"/>
          <w:sz w:val="14"/>
          <w:u w:val="none"/>
        </w:rPr>
        <w:t xml:space="preserve">, </w:t>
      </w:r>
      <w:r>
        <w:rPr>
          <w:b w:val="0"/>
          <w:i w:val="0"/>
          <w:smallCaps w:val="0"/>
          <w:strike w:val="0"/>
          <w:sz w:val="20"/>
          <w:highlight w:val="cyan"/>
          <w:u w:val="single"/>
        </w:rPr>
        <w:t xml:space="preserve">a crucial catalyst for </w:t>
      </w:r>
      <w:r>
        <w:rPr>
          <w:b w:val="0"/>
          <w:i w:val="0"/>
          <w:smallCaps w:val="0"/>
          <w:strike w:val="0"/>
          <w:sz w:val="20"/>
          <w:u w:val="single"/>
        </w:rPr>
        <w:t xml:space="preserve">economic </w:t>
      </w:r>
      <w:r>
        <w:rPr>
          <w:b w:val="0"/>
          <w:i w:val="0"/>
          <w:smallCaps w:val="0"/>
          <w:strike w:val="0"/>
          <w:sz w:val="20"/>
          <w:highlight w:val="cyan"/>
          <w:u w:val="single"/>
        </w:rPr>
        <w:t>vitality</w:t>
      </w:r>
      <w:r>
        <w:rPr>
          <w:b w:val="0"/>
          <w:i w:val="0"/>
          <w:smallCaps w:val="0"/>
          <w:strike w:val="0"/>
          <w:sz w:val="20"/>
          <w:u w:val="single"/>
        </w:rPr>
        <w:t xml:space="preserve">, is currently </w:t>
      </w:r>
      <w:r>
        <w:rPr>
          <w:b w:val="0"/>
          <w:i w:val="0"/>
          <w:smallCaps w:val="0"/>
          <w:strike w:val="0"/>
          <w:sz w:val="20"/>
          <w:highlight w:val="cyan"/>
          <w:u w:val="single"/>
        </w:rPr>
        <w:t xml:space="preserve">facing </w:t>
      </w:r>
      <w:r>
        <w:rPr>
          <w:b w:val="0"/>
          <w:i w:val="0"/>
          <w:smallCaps w:val="0"/>
          <w:strike w:val="0"/>
          <w:sz w:val="20"/>
          <w:u w:val="single"/>
        </w:rPr>
        <w:t xml:space="preserve">significant </w:t>
      </w:r>
      <w:r>
        <w:rPr>
          <w:b w:val="0"/>
          <w:i w:val="0"/>
          <w:smallCaps w:val="0"/>
          <w:strike w:val="0"/>
          <w:sz w:val="20"/>
          <w:highlight w:val="cyan"/>
          <w:u w:val="single"/>
        </w:rPr>
        <w:t>challenges</w:t>
      </w:r>
      <w:r>
        <w:rPr>
          <w:b w:val="0"/>
          <w:i w:val="0"/>
          <w:smallCaps w:val="0"/>
          <w:strike w:val="0"/>
          <w:sz w:val="20"/>
          <w:u w:val="single"/>
        </w:rPr>
        <w:t xml:space="preserve">. Patents incentivize individuals and companies to innovate by granting them exclusive rights over their inventions for a limited time. However, </w:t>
      </w:r>
      <w:r>
        <w:rPr>
          <w:b w:val="0"/>
          <w:i w:val="0"/>
          <w:smallCaps w:val="0"/>
          <w:strike w:val="0"/>
          <w:sz w:val="20"/>
          <w:highlight w:val="cyan"/>
          <w:u w:val="single"/>
        </w:rPr>
        <w:t xml:space="preserve">this system </w:t>
      </w:r>
      <w:r>
        <w:rPr>
          <w:b w:val="0"/>
          <w:i w:val="0"/>
          <w:smallCaps w:val="0"/>
          <w:strike w:val="0"/>
          <w:sz w:val="20"/>
          <w:u w:val="single"/>
        </w:rPr>
        <w:t xml:space="preserve">is </w:t>
      </w:r>
      <w:r>
        <w:rPr>
          <w:b w:val="0"/>
          <w:i w:val="0"/>
          <w:smallCaps w:val="0"/>
          <w:strike w:val="0"/>
          <w:sz w:val="20"/>
          <w:highlight w:val="cyan"/>
          <w:u w:val="single"/>
        </w:rPr>
        <w:t xml:space="preserve">being exploited by </w:t>
      </w:r>
      <w:r>
        <w:rPr>
          <w:b w:val="0"/>
          <w:i w:val="0"/>
          <w:smallCaps w:val="0"/>
          <w:strike w:val="0"/>
          <w:sz w:val="20"/>
          <w:u w:val="single"/>
        </w:rPr>
        <w:t xml:space="preserve">patent </w:t>
      </w:r>
      <w:r>
        <w:rPr>
          <w:b w:val="0"/>
          <w:i w:val="0"/>
          <w:smallCaps w:val="0"/>
          <w:strike w:val="0"/>
          <w:sz w:val="20"/>
          <w:highlight w:val="cyan"/>
          <w:u w:val="single"/>
        </w:rPr>
        <w:t xml:space="preserve">litigants who target innovative firms </w:t>
      </w:r>
      <w:r>
        <w:rPr>
          <w:b w:val="0"/>
          <w:i w:val="0"/>
          <w:smallCaps w:val="0"/>
          <w:strike w:val="0"/>
          <w:sz w:val="20"/>
          <w:u w:val="single"/>
        </w:rPr>
        <w:t xml:space="preserve">utilizing proprietary technologies as inputs, </w:t>
      </w:r>
      <w:r>
        <w:rPr>
          <w:b w:val="0"/>
          <w:i w:val="0"/>
          <w:smallCaps w:val="0"/>
          <w:strike w:val="0"/>
          <w:sz w:val="20"/>
          <w:highlight w:val="cyan"/>
          <w:u w:val="single"/>
        </w:rPr>
        <w:t>forcing them into settlement payments and disrupting research</w:t>
      </w:r>
      <w:r>
        <w:rPr>
          <w:b w:val="0"/>
          <w:i w:val="0"/>
          <w:smallCaps w:val="0"/>
          <w:strike w:val="0"/>
          <w:sz w:val="20"/>
          <w:u w:val="single"/>
        </w:rPr>
        <w:t xml:space="preserve">, </w:t>
      </w:r>
      <w:r>
        <w:rPr>
          <w:b w:val="0"/>
          <w:i w:val="0"/>
          <w:smallCaps w:val="0"/>
          <w:strike w:val="0"/>
          <w:sz w:val="20"/>
          <w:highlight w:val="cyan"/>
          <w:u w:val="single"/>
        </w:rPr>
        <w:t>development</w:t>
      </w:r>
      <w:r>
        <w:rPr>
          <w:b w:val="0"/>
          <w:i w:val="0"/>
          <w:smallCaps w:val="0"/>
          <w:strike w:val="0"/>
          <w:sz w:val="20"/>
          <w:u w:val="single"/>
        </w:rPr>
        <w:t xml:space="preserve">, </w:t>
      </w:r>
      <w:r>
        <w:rPr>
          <w:b w:val="0"/>
          <w:i w:val="0"/>
          <w:smallCaps w:val="0"/>
          <w:strike w:val="0"/>
          <w:sz w:val="20"/>
          <w:highlight w:val="cyan"/>
          <w:u w:val="single"/>
        </w:rPr>
        <w:t xml:space="preserve">and </w:t>
      </w:r>
      <w:r>
        <w:rPr>
          <w:b w:val="0"/>
          <w:i w:val="0"/>
          <w:smallCaps w:val="0"/>
          <w:strike w:val="0"/>
          <w:sz w:val="20"/>
          <w:u w:val="single"/>
        </w:rPr>
        <w:t xml:space="preserve">product </w:t>
      </w:r>
      <w:r>
        <w:rPr>
          <w:b w:val="0"/>
          <w:i w:val="0"/>
          <w:smallCaps w:val="0"/>
          <w:strike w:val="0"/>
          <w:sz w:val="20"/>
          <w:highlight w:val="cyan"/>
          <w:u w:val="single"/>
        </w:rPr>
        <w:t xml:space="preserve">sales </w:t>
      </w:r>
      <w:r>
        <w:rPr>
          <w:b w:val="0"/>
          <w:i w:val="0"/>
          <w:smallCaps w:val="0"/>
          <w:strike w:val="0"/>
          <w:sz w:val="20"/>
          <w:u w:val="single"/>
        </w:rPr>
        <w:t>until the legal matters are resolved.</w:t>
      </w:r>
    </w:p>
    <w:p>
      <w:pPr>
        <w:spacing w:after="60"/>
      </w:pPr>
      <w:r>
        <w:rPr>
          <w:b w:val="0"/>
          <w:i w:val="0"/>
          <w:smallCaps w:val="0"/>
          <w:strike w:val="0"/>
          <w:sz w:val="20"/>
          <w:u w:val="single"/>
        </w:rPr>
        <w:t>These litigants, often referred to as “</w:t>
      </w:r>
      <w:r>
        <w:rPr>
          <w:b w:val="0"/>
          <w:i w:val="0"/>
          <w:smallCaps w:val="0"/>
          <w:strike w:val="0"/>
          <w:sz w:val="20"/>
          <w:highlight w:val="cyan"/>
          <w:u w:val="single"/>
        </w:rPr>
        <w:t>patent trolls</w:t>
      </w:r>
      <w:r>
        <w:rPr>
          <w:b w:val="0"/>
          <w:i w:val="0"/>
          <w:smallCaps w:val="0"/>
          <w:strike w:val="0"/>
          <w:sz w:val="20"/>
          <w:u w:val="single"/>
        </w:rPr>
        <w:t xml:space="preserve">,” </w:t>
      </w:r>
      <w:r>
        <w:rPr>
          <w:b w:val="0"/>
          <w:i w:val="0"/>
          <w:smallCaps w:val="0"/>
          <w:strike w:val="0"/>
          <w:sz w:val="20"/>
          <w:highlight w:val="cyan"/>
          <w:u w:val="single"/>
        </w:rPr>
        <w:t xml:space="preserve">collaborate with hedge-funded </w:t>
      </w:r>
      <w:r>
        <w:rPr>
          <w:b w:val="0"/>
          <w:i w:val="0"/>
          <w:smallCaps w:val="0"/>
          <w:strike w:val="0"/>
          <w:sz w:val="20"/>
          <w:u w:val="single"/>
        </w:rPr>
        <w:t>patent assertion entities (</w:t>
      </w:r>
      <w:r>
        <w:rPr>
          <w:b w:val="0"/>
          <w:i w:val="0"/>
          <w:smallCaps w:val="0"/>
          <w:strike w:val="0"/>
          <w:sz w:val="20"/>
          <w:highlight w:val="cyan"/>
          <w:u w:val="single"/>
        </w:rPr>
        <w:t>PAEs</w:t>
      </w:r>
      <w:r>
        <w:rPr>
          <w:b w:val="0"/>
          <w:i w:val="0"/>
          <w:smallCaps w:val="0"/>
          <w:strike w:val="0"/>
          <w:sz w:val="20"/>
          <w:u w:val="single"/>
        </w:rPr>
        <w:t xml:space="preserve">) or non-practicing entities that </w:t>
      </w:r>
      <w:r>
        <w:rPr>
          <w:b w:val="0"/>
          <w:i w:val="0"/>
          <w:smallCaps w:val="0"/>
          <w:strike w:val="0"/>
          <w:sz w:val="20"/>
          <w:highlight w:val="cyan"/>
          <w:u w:val="single"/>
        </w:rPr>
        <w:t xml:space="preserve">do not engage in innovation </w:t>
      </w:r>
      <w:r>
        <w:rPr>
          <w:b w:val="0"/>
          <w:i w:val="0"/>
          <w:smallCaps w:val="0"/>
          <w:strike w:val="0"/>
          <w:sz w:val="20"/>
          <w:u w:val="single"/>
        </w:rPr>
        <w:t xml:space="preserve">or manufacturing </w:t>
      </w:r>
      <w:r>
        <w:rPr>
          <w:b w:val="0"/>
          <w:i w:val="0"/>
          <w:smallCaps w:val="0"/>
          <w:strike w:val="0"/>
          <w:sz w:val="20"/>
          <w:highlight w:val="cyan"/>
          <w:u w:val="single"/>
        </w:rPr>
        <w:t xml:space="preserve">but </w:t>
      </w:r>
      <w:r>
        <w:rPr>
          <w:b w:val="0"/>
          <w:i w:val="0"/>
          <w:smallCaps w:val="0"/>
          <w:strike w:val="0"/>
          <w:sz w:val="20"/>
          <w:u w:val="single"/>
        </w:rPr>
        <w:t xml:space="preserve">instead </w:t>
      </w:r>
      <w:r>
        <w:rPr>
          <w:b w:val="0"/>
          <w:i w:val="0"/>
          <w:smallCaps w:val="0"/>
          <w:strike w:val="0"/>
          <w:sz w:val="20"/>
          <w:highlight w:val="cyan"/>
          <w:u w:val="single"/>
        </w:rPr>
        <w:t>amass patents to create portfolios for aggressive legal action</w:t>
      </w:r>
      <w:r>
        <w:rPr>
          <w:b w:val="0"/>
          <w:i w:val="0"/>
          <w:smallCaps w:val="0"/>
          <w:strike w:val="0"/>
          <w:sz w:val="20"/>
          <w:u w:val="single"/>
        </w:rPr>
        <w:t>.</w:t>
      </w:r>
      <w:r>
        <w:rPr>
          <w:b w:val="0"/>
          <w:i w:val="0"/>
          <w:smallCaps w:val="0"/>
          <w:strike w:val="0"/>
          <w:sz w:val="14"/>
          <w:u w:val="none"/>
        </w:rPr>
        <w:t xml:space="preserve"> Employing data mining techniques, they identify patents deployed by third-party suppliers within complex supply chains, ultimately suing the final manufacturers for infringement. Leveraging Section 337 investigations at the United States International Trade Commission (ITC), they pressure targeted firms into hefty settlement payments. While the ITC was established in 1916 to combat counterfeit imports, it was never intended to handle patent litigation, despite the reality of today’s global supply chains.</w:t>
      </w:r>
    </w:p>
    <w:p>
      <w:pPr>
        <w:spacing w:after="60"/>
      </w:pPr>
      <w:r>
        <w:rPr>
          <w:b w:val="0"/>
          <w:i w:val="0"/>
          <w:smallCaps w:val="0"/>
          <w:strike w:val="0"/>
          <w:sz w:val="20"/>
          <w:highlight w:val="cyan"/>
          <w:u w:val="single"/>
        </w:rPr>
        <w:t xml:space="preserve">The direct costs </w:t>
      </w:r>
      <w:r>
        <w:rPr>
          <w:b w:val="0"/>
          <w:i w:val="0"/>
          <w:smallCaps w:val="0"/>
          <w:strike w:val="0"/>
          <w:sz w:val="20"/>
          <w:u w:val="single"/>
        </w:rPr>
        <w:t xml:space="preserve">of litigation initiated by non-practicing entities (NPEs) were </w:t>
      </w:r>
      <w:r>
        <w:rPr>
          <w:b w:val="0"/>
          <w:i w:val="0"/>
          <w:smallCaps w:val="0"/>
          <w:strike w:val="0"/>
          <w:sz w:val="20"/>
          <w:highlight w:val="cyan"/>
          <w:u w:val="single"/>
        </w:rPr>
        <w:t xml:space="preserve">estimated to amount to $29 billion </w:t>
      </w:r>
      <w:r>
        <w:rPr>
          <w:b w:val="0"/>
          <w:i w:val="0"/>
          <w:smallCaps w:val="0"/>
          <w:strike w:val="0"/>
          <w:sz w:val="20"/>
          <w:u w:val="single"/>
        </w:rPr>
        <w:t>annually in out-of-pocket expenses for defendant firms in 2012, with overall costs depleting approximately $60 billion in firm value each year.</w:t>
      </w:r>
      <w:r>
        <w:rPr>
          <w:b w:val="0"/>
          <w:i w:val="0"/>
          <w:smallCaps w:val="0"/>
          <w:strike w:val="0"/>
          <w:sz w:val="14"/>
          <w:u w:val="none"/>
        </w:rPr>
        <w:t xml:space="preserve"> Since then, the number and proportion of NPE lawsuits have surged, with cases now totaling 400 per year, quadrupling over the past decade</w:t>
      </w:r>
      <w:r>
        <w:rPr>
          <w:b w:val="0"/>
          <w:i w:val="0"/>
          <w:smallCaps w:val="0"/>
          <w:strike w:val="0"/>
          <w:sz w:val="20"/>
          <w:u w:val="single"/>
        </w:rPr>
        <w:t>. NPEs accounted for 63% of all patent litigation cases in 2022.</w:t>
      </w:r>
    </w:p>
    <w:p>
      <w:pPr>
        <w:spacing w:after="60"/>
      </w:pPr>
      <w:r>
        <w:rPr>
          <w:b w:val="0"/>
          <w:i w:val="0"/>
          <w:smallCaps w:val="0"/>
          <w:strike w:val="0"/>
          <w:sz w:val="14"/>
          <w:u w:val="none"/>
        </w:rPr>
        <w:t>These considerable costs are shouldered by American inventors and innovative companies, constraining their capacity to invest in research, expand their workforce, and establish new facilities. American consumers are adversely affected by reduced availability of innovative products and inflated prices.</w:t>
      </w:r>
    </w:p>
    <w:p>
      <w:pPr>
        <w:spacing w:after="60"/>
      </w:pPr>
      <w:r>
        <w:rPr>
          <w:b w:val="0"/>
          <w:i w:val="0"/>
          <w:smallCaps w:val="0"/>
          <w:strike w:val="0"/>
          <w:sz w:val="14"/>
          <w:u w:val="none"/>
        </w:rPr>
        <w:t xml:space="preserve">Thankfully, the bipartisan “Advancing America’s Interest Act” (AAIA), reintroduced and updated in the 118th Congress, aims to curb patent abuse by modernizing the ITC and restoring its original mission. </w:t>
      </w:r>
      <w:r>
        <w:rPr>
          <w:b w:val="0"/>
          <w:i w:val="0"/>
          <w:smallCaps w:val="0"/>
          <w:strike w:val="0"/>
          <w:sz w:val="20"/>
          <w:highlight w:val="cyan"/>
          <w:u w:val="single"/>
        </w:rPr>
        <w:t xml:space="preserve">The proposed legislation includes provisions mandating </w:t>
      </w:r>
      <w:r>
        <w:rPr>
          <w:b w:val="0"/>
          <w:i w:val="0"/>
          <w:smallCaps w:val="0"/>
          <w:strike w:val="0"/>
          <w:sz w:val="20"/>
          <w:u w:val="single"/>
        </w:rPr>
        <w:t xml:space="preserve">that </w:t>
      </w:r>
      <w:r>
        <w:rPr>
          <w:b w:val="0"/>
          <w:i w:val="0"/>
          <w:smallCaps w:val="0"/>
          <w:strike w:val="0"/>
          <w:sz w:val="20"/>
          <w:highlight w:val="cyan"/>
          <w:u w:val="single"/>
        </w:rPr>
        <w:t xml:space="preserve">litigated patents are utilized </w:t>
      </w:r>
      <w:r>
        <w:rPr>
          <w:b w:val="0"/>
          <w:i w:val="0"/>
          <w:smallCaps w:val="0"/>
          <w:strike w:val="0"/>
          <w:sz w:val="20"/>
          <w:u w:val="single"/>
        </w:rPr>
        <w:t>in actual U.S. products (rather than being solely part of a patent portfolio) and implements public interest standards to safeguard health, welfare, and competitive conditions.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