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Patent trolls </w:t>
      </w:r>
      <w:r>
        <w:rPr>
          <w:b/>
          <w:i w:val="0"/>
          <w:smallCaps w:val="0"/>
          <w:strike w:val="0"/>
          <w:sz w:val="24"/>
          <w:u w:val="none"/>
        </w:rPr>
        <w:t>create</w:t>
      </w:r>
      <w:r>
        <w:rPr>
          <w:b/>
          <w:i w:val="0"/>
          <w:smallCaps w:val="0"/>
          <w:strike w:val="0"/>
          <w:sz w:val="24"/>
          <w:u w:val="none"/>
        </w:rPr>
        <w:t xml:space="preserve"> a chilling effect that deters R&amp;D investment. 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Feng </w:t>
      </w:r>
      <w:r>
        <w:rPr>
          <w:b/>
          <w:i w:val="0"/>
          <w:smallCaps w:val="0"/>
          <w:strike w:val="0"/>
          <w:sz w:val="24"/>
          <w:u w:val="none"/>
        </w:rPr>
        <w:t>Chen</w:t>
      </w:r>
      <w:r>
        <w:rPr>
          <w:b/>
          <w:i w:val="0"/>
          <w:smallCaps w:val="0"/>
          <w:strike w:val="0"/>
          <w:sz w:val="24"/>
          <w:u w:val="none"/>
        </w:rPr>
        <w:t xml:space="preserve"> 24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none"/>
        </w:rPr>
        <w:t>Associate Professor of Accounting in the Department of Management at the University of Toronto Mississauga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none"/>
        </w:rPr>
        <w:t>“</w:t>
      </w:r>
      <w:r>
        <w:rPr>
          <w:b w:val="0"/>
          <w:i w:val="0"/>
          <w:smallCaps w:val="0"/>
          <w:strike w:val="0"/>
          <w:sz w:val="20"/>
          <w:u w:val="none"/>
        </w:rPr>
        <w:t>Chilling effects of patent trolls.</w:t>
      </w:r>
      <w:r>
        <w:rPr>
          <w:b w:val="0"/>
          <w:i w:val="0"/>
          <w:smallCaps w:val="0"/>
          <w:strike w:val="0"/>
          <w:sz w:val="20"/>
          <w:u w:val="none"/>
        </w:rPr>
        <w:t>”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Science Direct. A</w:t>
      </w:r>
      <w:r>
        <w:rPr>
          <w:b w:val="0"/>
          <w:i w:val="0"/>
          <w:smallCaps w:val="0"/>
          <w:strike w:val="0"/>
          <w:sz w:val="20"/>
          <w:u w:val="none"/>
        </w:rPr>
        <w:t>p</w:t>
      </w:r>
      <w:r>
        <w:rPr>
          <w:b w:val="0"/>
          <w:i w:val="0"/>
          <w:smallCaps w:val="0"/>
          <w:strike w:val="0"/>
          <w:sz w:val="20"/>
          <w:u w:val="none"/>
        </w:rPr>
        <w:t xml:space="preserve">ril 2023. </w:t>
      </w:r>
      <w:r>
        <w:rPr>
          <w:b w:val="0"/>
          <w:i w:val="0"/>
          <w:smallCaps w:val="0"/>
          <w:strike w:val="0"/>
          <w:sz w:val="20"/>
          <w:u w:val="none"/>
        </w:rPr>
        <w:t>https://www.sciencedirect.com/science/article/abs/pii/S0048733322002232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higher probability of being sued increases the expected legal and </w:t>
      </w:r>
      <w:r>
        <w:rPr>
          <w:b w:val="0"/>
          <w:i w:val="0"/>
          <w:smallCaps w:val="0"/>
          <w:strike w:val="0"/>
          <w:sz w:val="20"/>
          <w:u w:val="single"/>
        </w:rPr>
        <w:t>settlement costs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for atrisk technology peers.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However, this is not the only reason for their market value losses. The other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source of market value loss is that at-risk technology peers might respond to higher NPE litigation risk by increasing R&amp;D investments in “workaround technologies” that could adversely affect these firms’ operational performance. To identify the impact of NPEs lawsuits on at-risk technology peers’ R&amp;D investments, we analyze at-risk technology peers who are not sued by NPEs in the previous or following five years for patent infringement related to the same patent class when a defendant is sued by an NPE (i.e., non-litigated peers). As these firms do not incur lawsuits, we are able to avoid the confounding effect on the changes in R&amp;D investments due to higher legal and settlement costs, as documented by Cohen et al. (2016, 2019).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We first show that such non-litigated peers nevertheless incur an average CAR of -1.1% in the [-1, +1] three-day window when a defendant is sued by an NPE, suggesting that these firms ex ante still face a significant probability of being sued. Interestingly, we find that non-litigated peers exhibit significant increases in R&amp;D activities in the five-year period following an NPE case filing. Thus, non-litigated peers behave opposite to the defendants who have to cut R&amp;D due to higher legal costs (Cohen et al. 2016, 2019).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increase in R&amp;D activities of non-litigated peers, however, is in line with the the survey by Chien (2014), which finds a </w:t>
      </w:r>
      <w:r>
        <w:rPr>
          <w:b w:val="0"/>
          <w:i w:val="0"/>
          <w:smallCaps w:val="0"/>
          <w:strike w:val="0"/>
          <w:sz w:val="20"/>
          <w:u w:val="single"/>
        </w:rPr>
        <w:t>“chilling effect”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NPE lawsuits in that at-risk firms not yet sued take actions to lower the likelihood of </w:t>
      </w:r>
      <w:r>
        <w:rPr>
          <w:b w:val="0"/>
          <w:i w:val="0"/>
          <w:smallCaps w:val="0"/>
          <w:strike w:val="0"/>
          <w:sz w:val="20"/>
          <w:u w:val="single"/>
        </w:rPr>
        <w:t>subsequent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NPE lawsuits.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 is also consistent with the game theory predictions of Reitzig, Henkel, and Heath (2007) and Henkel and Reitz (2010) that a non-litigated peer may react by proactively replacing the NPE’s technology with a non-infringing alternative (i.e., “workaround technology”).2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Workaround technologies could be either strategic technologies that are mainly for litigation purposes but have less value, or intrinsic technologies that provide long-term value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firms (Abrams, Akcigit, and Popadak 2013; Mezzanotti 2021). To differentiate these two types of innovation outcomes, we investigate the values and impacts of the patents generated from nonlitigated peers’ R&amp;D investments. We document for non-litigated peers a decline in the ratio of patent citations to R&amp;D and the ratio of patent values to R&amp;D in the five-year period following an NPE lawsuit filing, i.e.,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fewer patent citations as well as </w:t>
      </w:r>
      <w:r>
        <w:rPr>
          <w:b w:val="0"/>
          <w:i w:val="0"/>
          <w:smallCaps w:val="0"/>
          <w:strike w:val="0"/>
          <w:sz w:val="20"/>
          <w:u w:val="single"/>
        </w:rPr>
        <w:t>lower patent values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for each dollar of R&amp;D spending, suggesting that increased R&amp;D investments likely concentrate on strategic technologies. Given the </w:t>
      </w:r>
      <w:r>
        <w:rPr>
          <w:b w:val="0"/>
          <w:i w:val="0"/>
          <w:smallCaps w:val="0"/>
          <w:strike w:val="0"/>
          <w:sz w:val="20"/>
          <w:u w:val="single"/>
        </w:rPr>
        <w:t>reduction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the values of R&amp;D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investments,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it is conceivable that these firms could also suffer higher operational risk and lower profitability. </w:t>
      </w:r>
      <w:r>
        <w:rPr>
          <w:b w:val="0"/>
          <w:i w:val="0"/>
          <w:smallCaps w:val="0"/>
          <w:strike w:val="0"/>
          <w:sz w:val="16"/>
          <w:u w:val="none"/>
        </w:rPr>
        <w:t>Indeed, we find that nonlitigated peers report significant reductions in returns on assets (ROA) and cash flows from operations in the five-year period following an NPE lawsuit filing. These reductions are again more pronounced than those following a PE lawsuit filing.</w:t>
      </w:r>
    </w:p>
    <w:p>
      <w:pPr>
        <w:pStyle w:val="Caption"/>
      </w:pPr>
      <w:r>
        <w:t>Source: Inter Partes Review Neg - Michigan 7 2024 BEJK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