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Any reform takes tremendous amounts of PC.</w:t>
      </w:r>
    </w:p>
    <w:p>
      <w:pPr>
        <w:spacing w:after="80"/>
      </w:pPr>
      <w:r>
        <w:rPr>
          <w:b/>
          <w:i w:val="0"/>
          <w:smallCaps w:val="0"/>
          <w:strike w:val="0"/>
          <w:sz w:val="24"/>
          <w:u w:val="none"/>
        </w:rPr>
        <w:t xml:space="preserve">Anderson ’14 </w:t>
      </w:r>
      <w:r>
        <w:rPr>
          <w:b w:val="0"/>
          <w:i w:val="0"/>
          <w:smallCaps w:val="0"/>
          <w:strike w:val="0"/>
          <w:sz w:val="20"/>
          <w:u w:val="none"/>
        </w:rPr>
        <w:t>[</w:t>
      </w:r>
      <w:r>
        <w:rPr>
          <w:b w:val="0"/>
          <w:i w:val="0"/>
          <w:smallCaps w:val="0"/>
          <w:strike w:val="0"/>
          <w:sz w:val="20"/>
          <w:u w:val="none"/>
        </w:rPr>
        <w:t xml:space="preserve">Jonas Anderson, JD from Harvard, is a professor at Utah University; 2014; </w:t>
      </w:r>
      <w:r>
        <w:rPr>
          <w:b w:val="0"/>
          <w:i/>
          <w:smallCaps w:val="0"/>
          <w:strike w:val="0"/>
          <w:sz w:val="20"/>
          <w:u w:val="none"/>
        </w:rPr>
        <w:t>American Law Review Journal</w:t>
      </w:r>
      <w:r>
        <w:rPr>
          <w:b w:val="0"/>
          <w:i w:val="0"/>
          <w:smallCaps w:val="0"/>
          <w:strike w:val="0"/>
          <w:sz w:val="20"/>
          <w:u w:val="none"/>
        </w:rPr>
        <w:t xml:space="preserve">; Volume 63 Issue 4; “Congress as a Catalyst of Patent Reform at the Federal Circuit,” </w:t>
      </w:r>
      <w:r>
        <w:rPr>
          <w:b w:val="0"/>
          <w:i w:val="0"/>
          <w:smallCaps w:val="0"/>
          <w:strike w:val="0"/>
          <w:sz w:val="20"/>
          <w:u w:val="none"/>
        </w:rPr>
        <w:t>https://digitalcommons.wcl.american.edu/cgi/viewcontent.cgi?article=1919&amp;context=aulr&amp;httpsredir=1&amp;referer=</w:t>
      </w:r>
      <w:r>
        <w:rPr>
          <w:b w:val="0"/>
          <w:i w:val="0"/>
          <w:smallCaps w:val="0"/>
          <w:strike w:val="0"/>
          <w:sz w:val="20"/>
          <w:u w:val="none"/>
        </w:rPr>
        <w:t>]//LASA-AB</w:t>
      </w:r>
    </w:p>
    <w:p>
      <w:pPr>
        <w:spacing w:after="60"/>
      </w:pPr>
      <w:r>
        <w:rPr>
          <w:b w:val="0"/>
          <w:i w:val="0"/>
          <w:smallCaps w:val="0"/>
          <w:strike w:val="0"/>
          <w:sz w:val="20"/>
          <w:u w:val="none"/>
        </w:rPr>
        <w:t>https://digitalcommons.wcl.american.edu/cgi/viewcontent.cgi?article=1919&amp;context=aulr&amp;httpsredir=1&amp;referer=</w:t>
      </w:r>
    </w:p>
    <w:p>
      <w:pPr>
        <w:spacing w:after="60"/>
      </w:pPr>
      <w:r>
        <w:rPr>
          <w:b w:val="0"/>
          <w:i w:val="0"/>
          <w:smallCaps w:val="0"/>
          <w:strike w:val="0"/>
          <w:sz w:val="16"/>
          <w:u w:val="none"/>
        </w:rPr>
        <w:t>D. Constitutional Competencies: Leveraging Expertise</w:t>
      </w:r>
    </w:p>
    <w:p>
      <w:pPr>
        <w:spacing w:after="60"/>
      </w:pPr>
      <w:r>
        <w:rPr>
          <w:b w:val="0"/>
          <w:i w:val="0"/>
          <w:smallCaps w:val="0"/>
          <w:strike w:val="0"/>
          <w:sz w:val="16"/>
          <w:u w:val="none"/>
        </w:rPr>
        <w:t xml:space="preserve">To answer the normative question of whether the court’s new dialogic interaction with Congress is likely to benefit patent policy going forward, the respective competencies of Congress and the Federal Circuit in crafting patent policy must be examined. </w:t>
      </w:r>
      <w:r>
        <w:rPr>
          <w:b w:val="0"/>
          <w:i w:val="0"/>
          <w:smallCaps w:val="0"/>
          <w:strike w:val="0"/>
          <w:sz w:val="20"/>
          <w:highlight w:val="cyan"/>
          <w:u w:val="single"/>
        </w:rPr>
        <w:t xml:space="preserve">A </w:t>
      </w:r>
      <w:r>
        <w:rPr>
          <w:b w:val="0"/>
          <w:i w:val="0"/>
          <w:smallCaps w:val="0"/>
          <w:strike w:val="0"/>
          <w:sz w:val="20"/>
          <w:highlight w:val="cyan"/>
          <w:u w:val="single"/>
        </w:rPr>
        <w:t>tremendous amount of p</w:t>
      </w:r>
      <w:r>
        <w:rPr>
          <w:b w:val="0"/>
          <w:i w:val="0"/>
          <w:smallCaps w:val="0"/>
          <w:strike w:val="0"/>
          <w:sz w:val="20"/>
          <w:u w:val="single"/>
        </w:rPr>
        <w:t xml:space="preserve">olitical </w:t>
      </w:r>
      <w:r>
        <w:rPr>
          <w:b w:val="0"/>
          <w:i w:val="0"/>
          <w:smallCaps w:val="0"/>
          <w:strike w:val="0"/>
          <w:sz w:val="20"/>
          <w:highlight w:val="cyan"/>
          <w:u w:val="single"/>
        </w:rPr>
        <w:t>c</w:t>
      </w:r>
      <w:r>
        <w:rPr>
          <w:b w:val="0"/>
          <w:i w:val="0"/>
          <w:smallCaps w:val="0"/>
          <w:strike w:val="0"/>
          <w:sz w:val="20"/>
          <w:u w:val="single"/>
        </w:rPr>
        <w:t xml:space="preserve">apital </w:t>
      </w:r>
      <w:r>
        <w:rPr>
          <w:b w:val="0"/>
          <w:i w:val="0"/>
          <w:smallCaps w:val="0"/>
          <w:strike w:val="0"/>
          <w:sz w:val="20"/>
          <w:highlight w:val="cyan"/>
          <w:u w:val="single"/>
        </w:rPr>
        <w:t>is required</w:t>
      </w:r>
      <w:r>
        <w:rPr>
          <w:b w:val="0"/>
          <w:i w:val="0"/>
          <w:smallCaps w:val="0"/>
          <w:strike w:val="0"/>
          <w:sz w:val="20"/>
          <w:highlight w:val="cyan"/>
          <w:u w:val="single"/>
        </w:rPr>
        <w:t xml:space="preserve"> to pass</w:t>
      </w:r>
      <w:r>
        <w:rPr>
          <w:b w:val="0"/>
          <w:i w:val="0"/>
          <w:smallCaps w:val="0"/>
          <w:strike w:val="0"/>
          <w:sz w:val="20"/>
          <w:u w:val="single"/>
        </w:rPr>
        <w:t xml:space="preserve"> any new </w:t>
      </w:r>
      <w:r>
        <w:rPr>
          <w:b w:val="0"/>
          <w:i w:val="0"/>
          <w:smallCaps w:val="0"/>
          <w:strike w:val="0"/>
          <w:sz w:val="20"/>
          <w:highlight w:val="cyan"/>
          <w:u w:val="single"/>
        </w:rPr>
        <w:t>legislation. It is</w:t>
      </w:r>
      <w:r>
        <w:rPr>
          <w:b w:val="0"/>
          <w:i w:val="0"/>
          <w:smallCaps w:val="0"/>
          <w:strike w:val="0"/>
          <w:sz w:val="20"/>
          <w:u w:val="single"/>
        </w:rPr>
        <w:t xml:space="preserve"> </w:t>
      </w:r>
      <w:r>
        <w:rPr>
          <w:b w:val="0"/>
          <w:i w:val="0"/>
          <w:smallCaps w:val="0"/>
          <w:strike w:val="0"/>
          <w:sz w:val="20"/>
          <w:u w:val="single"/>
        </w:rPr>
        <w:t xml:space="preserve">simply </w:t>
      </w:r>
      <w:r>
        <w:rPr>
          <w:b w:val="0"/>
          <w:i w:val="0"/>
          <w:smallCaps w:val="0"/>
          <w:strike w:val="0"/>
          <w:sz w:val="20"/>
          <w:highlight w:val="cyan"/>
          <w:u w:val="single"/>
        </w:rPr>
        <w:t>impractical to</w:t>
      </w:r>
      <w:r>
        <w:rPr>
          <w:b w:val="0"/>
          <w:i w:val="0"/>
          <w:smallCaps w:val="0"/>
          <w:strike w:val="0"/>
          <w:sz w:val="20"/>
          <w:u w:val="single"/>
        </w:rPr>
        <w:t xml:space="preserve"> </w:t>
      </w:r>
      <w:r>
        <w:rPr>
          <w:b w:val="0"/>
          <w:i w:val="0"/>
          <w:smallCaps w:val="0"/>
          <w:strike w:val="0"/>
          <w:sz w:val="20"/>
          <w:highlight w:val="cyan"/>
          <w:u w:val="single"/>
        </w:rPr>
        <w:t>expect Congress to expend that</w:t>
      </w:r>
      <w:r>
        <w:rPr>
          <w:b w:val="0"/>
          <w:i w:val="0"/>
          <w:smallCaps w:val="0"/>
          <w:strike w:val="0"/>
          <w:sz w:val="20"/>
          <w:u w:val="single"/>
        </w:rPr>
        <w:t xml:space="preserve"> capital</w:t>
      </w:r>
      <w:r>
        <w:rPr>
          <w:b w:val="0"/>
          <w:i w:val="0"/>
          <w:smallCaps w:val="0"/>
          <w:strike w:val="0"/>
          <w:sz w:val="16"/>
          <w:u w:val="none"/>
        </w:rPr>
        <w:t xml:space="preserve"> every year in order </w:t>
      </w:r>
      <w:r>
        <w:rPr>
          <w:b w:val="0"/>
          <w:i w:val="0"/>
          <w:smallCaps w:val="0"/>
          <w:strike w:val="0"/>
          <w:sz w:val="20"/>
          <w:u w:val="single"/>
        </w:rPr>
        <w:t>to update the patent statute</w:t>
      </w:r>
      <w:r>
        <w:rPr>
          <w:b w:val="0"/>
          <w:i w:val="0"/>
          <w:smallCaps w:val="0"/>
          <w:strike w:val="0"/>
          <w:sz w:val="16"/>
          <w:u w:val="none"/>
        </w:rPr>
        <w:t>. Continual congressional oversight in other areas of intellectual property has resulted in statutes bloated with special-interest provisions. 358 As Dan Burk has noted, “</w:t>
      </w:r>
      <w:r>
        <w:rPr>
          <w:b w:val="0"/>
          <w:i w:val="0"/>
          <w:smallCaps w:val="0"/>
          <w:strike w:val="0"/>
          <w:sz w:val="20"/>
          <w:highlight w:val="cyan"/>
          <w:u w:val="single"/>
        </w:rPr>
        <w:t>The</w:t>
      </w:r>
      <w:r>
        <w:rPr>
          <w:b w:val="0"/>
          <w:i w:val="0"/>
          <w:smallCaps w:val="0"/>
          <w:strike w:val="0"/>
          <w:sz w:val="20"/>
          <w:u w:val="single"/>
        </w:rPr>
        <w:t xml:space="preserve"> manifest </w:t>
      </w:r>
      <w:r>
        <w:rPr>
          <w:b w:val="0"/>
          <w:i w:val="0"/>
          <w:smallCaps w:val="0"/>
          <w:strike w:val="0"/>
          <w:sz w:val="20"/>
          <w:highlight w:val="cyan"/>
          <w:u w:val="single"/>
        </w:rPr>
        <w:t>impracticality</w:t>
      </w:r>
      <w:r>
        <w:rPr>
          <w:b w:val="0"/>
          <w:i w:val="0"/>
          <w:smallCaps w:val="0"/>
          <w:strike w:val="0"/>
          <w:sz w:val="20"/>
          <w:u w:val="single"/>
        </w:rPr>
        <w:t xml:space="preserve"> of continuous legislative attention </w:t>
      </w:r>
      <w:r>
        <w:rPr>
          <w:b w:val="0"/>
          <w:i w:val="0"/>
          <w:smallCaps w:val="0"/>
          <w:strike w:val="0"/>
          <w:sz w:val="20"/>
          <w:highlight w:val="cyan"/>
          <w:u w:val="single"/>
        </w:rPr>
        <w:t xml:space="preserve">leaves </w:t>
      </w:r>
      <w:r>
        <w:rPr>
          <w:b w:val="0"/>
          <w:i w:val="0"/>
          <w:smallCaps w:val="0"/>
          <w:strike w:val="0"/>
          <w:sz w:val="20"/>
          <w:highlight w:val="cyan"/>
          <w:u w:val="single"/>
        </w:rPr>
        <w:t>courts and admin</w:t>
      </w:r>
      <w:r>
        <w:rPr>
          <w:b w:val="0"/>
          <w:i w:val="0"/>
          <w:smallCaps w:val="0"/>
          <w:strike w:val="0"/>
          <w:sz w:val="20"/>
          <w:u w:val="single"/>
        </w:rPr>
        <w:t xml:space="preserve">istrative </w:t>
      </w:r>
      <w:r>
        <w:rPr>
          <w:b w:val="0"/>
          <w:i w:val="0"/>
          <w:smallCaps w:val="0"/>
          <w:strike w:val="0"/>
          <w:sz w:val="20"/>
          <w:highlight w:val="cyan"/>
          <w:u w:val="single"/>
        </w:rPr>
        <w:t>agencies as the likely</w:t>
      </w:r>
      <w:r>
        <w:rPr>
          <w:b w:val="0"/>
          <w:i w:val="0"/>
          <w:smallCaps w:val="0"/>
          <w:strike w:val="0"/>
          <w:sz w:val="20"/>
          <w:u w:val="single"/>
        </w:rPr>
        <w:t xml:space="preserve"> institutional </w:t>
      </w:r>
      <w:r>
        <w:rPr>
          <w:b w:val="0"/>
          <w:i w:val="0"/>
          <w:smallCaps w:val="0"/>
          <w:strike w:val="0"/>
          <w:sz w:val="20"/>
          <w:highlight w:val="cyan"/>
          <w:u w:val="single"/>
        </w:rPr>
        <w:t>stewards</w:t>
      </w:r>
      <w:r>
        <w:rPr>
          <w:b w:val="0"/>
          <w:i w:val="0"/>
          <w:smallCaps w:val="0"/>
          <w:strike w:val="0"/>
          <w:sz w:val="20"/>
          <w:highlight w:val="cyan"/>
          <w:u w:val="single"/>
        </w:rPr>
        <w:t xml:space="preserve"> of</w:t>
      </w:r>
      <w:r>
        <w:rPr>
          <w:b w:val="0"/>
          <w:i w:val="0"/>
          <w:smallCaps w:val="0"/>
          <w:strike w:val="0"/>
          <w:sz w:val="20"/>
          <w:u w:val="single"/>
        </w:rPr>
        <w:t xml:space="preserve"> statutory </w:t>
      </w:r>
      <w:r>
        <w:rPr>
          <w:b w:val="0"/>
          <w:i w:val="0"/>
          <w:smallCaps w:val="0"/>
          <w:strike w:val="0"/>
          <w:sz w:val="20"/>
          <w:highlight w:val="cyan"/>
          <w:u w:val="single"/>
        </w:rPr>
        <w:t>tailoring</w:t>
      </w:r>
      <w:r>
        <w:rPr>
          <w:b w:val="0"/>
          <w:i w:val="0"/>
          <w:smallCaps w:val="0"/>
          <w:strike w:val="0"/>
          <w:sz w:val="16"/>
          <w:u w:val="none"/>
        </w:rPr>
        <w:t>.”359</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