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IPR is </w:t>
      </w:r>
      <w:r>
        <w:rPr>
          <w:b/>
          <w:i w:val="0"/>
          <w:smallCaps w:val="0"/>
          <w:strike w:val="0"/>
          <w:sz w:val="24"/>
          <w:u w:val="single"/>
        </w:rPr>
        <w:t>key</w:t>
      </w:r>
      <w:r>
        <w:rPr>
          <w:b/>
          <w:i w:val="0"/>
          <w:smallCaps w:val="0"/>
          <w:strike w:val="0"/>
          <w:sz w:val="24"/>
          <w:u w:val="none"/>
        </w:rPr>
        <w:t xml:space="preserve"> to innovation---the issue is </w:t>
      </w:r>
      <w:r>
        <w:rPr>
          <w:b/>
          <w:i w:val="0"/>
          <w:smallCaps w:val="0"/>
          <w:strike w:val="0"/>
          <w:sz w:val="24"/>
          <w:u w:val="single"/>
        </w:rPr>
        <w:t>invalid patents</w:t>
      </w:r>
      <w:r>
        <w:rPr>
          <w:b/>
          <w:i w:val="0"/>
          <w:smallCaps w:val="0"/>
          <w:strike w:val="0"/>
          <w:sz w:val="24"/>
          <w:u w:val="none"/>
        </w:rPr>
        <w:t>, not IPR.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Ryan </w:t>
      </w:r>
      <w:r>
        <w:rPr>
          <w:b/>
          <w:i w:val="0"/>
          <w:smallCaps w:val="0"/>
          <w:strike w:val="0"/>
          <w:sz w:val="24"/>
          <w:u w:val="none"/>
        </w:rPr>
        <w:t>Fitzgerald 20</w:t>
      </w:r>
      <w:r>
        <w:rPr>
          <w:b w:val="0"/>
          <w:i w:val="0"/>
          <w:smallCaps w:val="0"/>
          <w:strike w:val="0"/>
          <w:sz w:val="20"/>
          <w:u w:val="none"/>
        </w:rPr>
        <w:t>, J.D. Candidate 2021, University of Minnesota Law School; B.S. Mechanical Engineering 2016, University of Notre Dame, December 2020, “Standing Up to Bad Patents: Allowing Non-Infringing Direct Competitors to Satisfy the Article III Standing Requirements Appealing an Adverse Inter Partes Review Decision to the Federal Circuit”, 105, Minnesota Law Review, 961//clara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Over the past decade, Congress has come to recognize the </w:t>
      </w:r>
      <w:r>
        <w:rPr>
          <w:b w:val="0"/>
          <w:i w:val="0"/>
          <w:smallCaps w:val="0"/>
          <w:strike w:val="0"/>
          <w:sz w:val="20"/>
          <w:u w:val="single"/>
        </w:rPr>
        <w:t>threat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invalid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1</w:t>
      </w:r>
      <w:r>
        <w:rPr>
          <w:b w:val="0"/>
          <w:i w:val="0"/>
          <w:smallCaps w:val="0"/>
          <w:strike w:val="0"/>
          <w:sz w:val="20"/>
          <w:u w:val="single"/>
        </w:rPr>
        <w:t>pose to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2These invalid patents, issued by the United States Patent and Trademark Office (PTO or "Patent Office"),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stifle innovation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by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precluding competitors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utilizing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patented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nology </w:t>
      </w:r>
      <w:r>
        <w:rPr>
          <w:b w:val="0"/>
          <w:i w:val="0"/>
          <w:smallCaps w:val="0"/>
          <w:strike w:val="0"/>
          <w:sz w:val="16"/>
          <w:u w:val="none"/>
        </w:rPr>
        <w:t>3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subjecting competitors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0"/>
          <w:u w:val="single"/>
        </w:rPr>
        <w:t>looming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[*962]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threat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significant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infringement damages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4When the Patent Office improperly issues these invalid patents,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patent owners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able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monopolize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0"/>
          <w:u w:val="single"/>
        </w:rPr>
        <w:t>nology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 should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otherwise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remain in the public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domain.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Recognizing the threat that invalid patents pose, Congress established several post-issuance proceedings, including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inter partes review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(IPR), to "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provide 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more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efficient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system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 challenging patents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should not have issued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5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encourage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direct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competitors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other third parties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file and obtain invalidity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rulings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these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6By obtaining an invalidity ruling on these patents,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competitors can open the technology to public use,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helping drive innovation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