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Chevron solves---challenges will spill up to undermine the PTAB.</w:t>
      </w:r>
    </w:p>
    <w:p>
      <w:pPr>
        <w:spacing w:after="80"/>
      </w:pPr>
      <w:r>
        <w:rPr>
          <w:b/>
          <w:i w:val="0"/>
          <w:smallCaps w:val="0"/>
          <w:strike w:val="0"/>
          <w:sz w:val="24"/>
          <w:u w:val="none"/>
        </w:rPr>
        <w:t xml:space="preserve">Koopman and Blaswoski 7/1 </w:t>
      </w:r>
      <w:r>
        <w:rPr>
          <w:b w:val="0"/>
          <w:i w:val="0"/>
          <w:smallCaps w:val="0"/>
          <w:strike w:val="0"/>
          <w:sz w:val="20"/>
          <w:u w:val="none"/>
        </w:rPr>
        <w:t>[Andrew J. Koopmanis an attorney specializing in both patent prosecution and patent and trademark litigation; Christopher H. Blaszkowski is a patent litigator</w:t>
      </w:r>
      <w:r>
        <w:rPr>
          <w:b w:val="0"/>
          <w:i w:val="0"/>
          <w:smallCaps w:val="0"/>
          <w:strike w:val="0"/>
          <w:sz w:val="20"/>
          <w:u w:val="none"/>
        </w:rPr>
        <w:t xml:space="preserve">; 7/1/2024; </w:t>
      </w:r>
      <w:r>
        <w:rPr>
          <w:b w:val="0"/>
          <w:i/>
          <w:smallCaps w:val="0"/>
          <w:strike w:val="0"/>
          <w:sz w:val="20"/>
          <w:u w:val="none"/>
        </w:rPr>
        <w:t>Buchanan</w:t>
      </w:r>
      <w:r>
        <w:rPr>
          <w:b w:val="0"/>
          <w:i w:val="0"/>
          <w:smallCaps w:val="0"/>
          <w:strike w:val="0"/>
          <w:sz w:val="20"/>
          <w:u w:val="none"/>
        </w:rPr>
        <w:t>; “</w:t>
      </w:r>
      <w:r>
        <w:rPr>
          <w:b w:val="0"/>
          <w:i w:val="0"/>
          <w:smallCaps w:val="0"/>
          <w:strike w:val="0"/>
          <w:sz w:val="20"/>
          <w:u w:val="none"/>
        </w:rPr>
        <w:t xml:space="preserve">With Elimination of </w:t>
      </w:r>
      <w:r>
        <w:rPr>
          <w:b w:val="0"/>
          <w:i/>
          <w:smallCaps w:val="0"/>
          <w:strike w:val="0"/>
          <w:sz w:val="20"/>
          <w:u w:val="none"/>
        </w:rPr>
        <w:t>Chevron</w:t>
      </w:r>
      <w:r>
        <w:rPr>
          <w:b w:val="0"/>
          <w:i w:val="0"/>
          <w:smallCaps w:val="0"/>
          <w:strike w:val="0"/>
          <w:sz w:val="20"/>
          <w:u w:val="none"/>
        </w:rPr>
        <w:t xml:space="preserve"> Deference, Challenges to Post Grant Procedures Likely to Follow,” </w:t>
      </w:r>
      <w:r>
        <w:rPr>
          <w:b w:val="0"/>
          <w:i w:val="0"/>
          <w:smallCaps w:val="0"/>
          <w:strike w:val="0"/>
          <w:sz w:val="20"/>
          <w:u w:val="none"/>
        </w:rPr>
        <w:t>https://www.bipc.com/with-elimination-of-chevron-deference-challenges-to-post-grant-procedures-likely-to-follow]//LASA-AB</w:t>
      </w:r>
    </w:p>
    <w:p>
      <w:pPr>
        <w:spacing w:after="60"/>
      </w:pPr>
      <w:r>
        <w:rPr>
          <w:b w:val="0"/>
          <w:i w:val="0"/>
          <w:smallCaps w:val="0"/>
          <w:strike w:val="0"/>
          <w:sz w:val="20"/>
          <w:u w:val="single"/>
        </w:rPr>
        <w:t xml:space="preserve">In a landmark decision issued on Friday, June 28, 2024, </w:t>
      </w:r>
      <w:r>
        <w:rPr>
          <w:b w:val="0"/>
          <w:i w:val="0"/>
          <w:smallCaps w:val="0"/>
          <w:strike w:val="0"/>
          <w:sz w:val="20"/>
          <w:highlight w:val="cyan"/>
          <w:u w:val="single"/>
        </w:rPr>
        <w:t>the</w:t>
      </w:r>
      <w:r>
        <w:rPr>
          <w:b w:val="0"/>
          <w:i w:val="0"/>
          <w:smallCaps w:val="0"/>
          <w:strike w:val="0"/>
          <w:sz w:val="20"/>
          <w:u w:val="single"/>
        </w:rPr>
        <w:t xml:space="preserve"> Supreme </w:t>
      </w:r>
      <w:r>
        <w:rPr>
          <w:b w:val="0"/>
          <w:i w:val="0"/>
          <w:smallCaps w:val="0"/>
          <w:strike w:val="0"/>
          <w:sz w:val="20"/>
          <w:highlight w:val="cyan"/>
          <w:u w:val="single"/>
        </w:rPr>
        <w:t>Court</w:t>
      </w:r>
      <w:r>
        <w:rPr>
          <w:b w:val="0"/>
          <w:i w:val="0"/>
          <w:smallCaps w:val="0"/>
          <w:strike w:val="0"/>
          <w:sz w:val="20"/>
          <w:u w:val="single"/>
        </w:rPr>
        <w:t xml:space="preserve"> in Loper Bright Enterprises v. Raimondo </w:t>
      </w:r>
      <w:r>
        <w:rPr>
          <w:b w:val="0"/>
          <w:i w:val="0"/>
          <w:smallCaps w:val="0"/>
          <w:strike w:val="0"/>
          <w:sz w:val="20"/>
          <w:highlight w:val="cyan"/>
          <w:u w:val="single"/>
        </w:rPr>
        <w:t>overruled a</w:t>
      </w:r>
      <w:r>
        <w:rPr>
          <w:b w:val="0"/>
          <w:i w:val="0"/>
          <w:smallCaps w:val="0"/>
          <w:strike w:val="0"/>
          <w:sz w:val="20"/>
          <w:u w:val="single"/>
        </w:rPr>
        <w:t xml:space="preserve"> prior </w:t>
      </w:r>
      <w:r>
        <w:rPr>
          <w:b w:val="0"/>
          <w:i w:val="0"/>
          <w:smallCaps w:val="0"/>
          <w:strike w:val="0"/>
          <w:sz w:val="20"/>
          <w:highlight w:val="cyan"/>
          <w:u w:val="single"/>
        </w:rPr>
        <w:t>cornerstone</w:t>
      </w:r>
      <w:r>
        <w:rPr>
          <w:b w:val="0"/>
          <w:i w:val="0"/>
          <w:smallCaps w:val="0"/>
          <w:strike w:val="0"/>
          <w:sz w:val="20"/>
          <w:u w:val="single"/>
        </w:rPr>
        <w:t xml:space="preserve"> holding </w:t>
      </w:r>
      <w:r>
        <w:rPr>
          <w:b w:val="0"/>
          <w:i w:val="0"/>
          <w:smallCaps w:val="0"/>
          <w:strike w:val="0"/>
          <w:sz w:val="20"/>
          <w:highlight w:val="cyan"/>
          <w:u w:val="single"/>
        </w:rPr>
        <w:t>of agency law</w:t>
      </w:r>
      <w:r>
        <w:rPr>
          <w:b w:val="0"/>
          <w:i w:val="0"/>
          <w:smallCaps w:val="0"/>
          <w:strike w:val="0"/>
          <w:sz w:val="20"/>
          <w:highlight w:val="cyan"/>
          <w:u w:val="single"/>
        </w:rPr>
        <w:t>—called Chevron deference</w:t>
      </w:r>
      <w:r>
        <w:rPr>
          <w:b w:val="0"/>
          <w:i w:val="0"/>
          <w:smallCaps w:val="0"/>
          <w:strike w:val="0"/>
          <w:sz w:val="20"/>
          <w:u w:val="single"/>
        </w:rPr>
        <w:t>—that a court must defer to agency action with respect to an ambiguous statute.</w:t>
      </w:r>
    </w:p>
    <w:p>
      <w:pPr>
        <w:spacing w:after="60"/>
      </w:pPr>
      <w:r>
        <w:rPr>
          <w:b w:val="0"/>
          <w:i w:val="0"/>
          <w:smallCaps w:val="0"/>
          <w:strike w:val="0"/>
          <w:sz w:val="20"/>
          <w:u w:val="single"/>
        </w:rPr>
        <w:t>This decision will have ramifications in virtually all areas of administrative law, not the least of which includes</w:t>
      </w:r>
      <w:r>
        <w:rPr>
          <w:b w:val="0"/>
          <w:i w:val="0"/>
          <w:smallCaps w:val="0"/>
          <w:strike w:val="0"/>
          <w:sz w:val="16"/>
          <w:u w:val="none"/>
        </w:rPr>
        <w:t xml:space="preserve"> regulations promulgated by </w:t>
      </w:r>
      <w:r>
        <w:rPr>
          <w:b w:val="0"/>
          <w:i w:val="0"/>
          <w:smallCaps w:val="0"/>
          <w:strike w:val="0"/>
          <w:sz w:val="20"/>
          <w:u w:val="single"/>
        </w:rPr>
        <w:t xml:space="preserve">the </w:t>
      </w:r>
      <w:r>
        <w:rPr>
          <w:b w:val="0"/>
          <w:i w:val="0"/>
          <w:smallCaps w:val="0"/>
          <w:strike w:val="0"/>
          <w:sz w:val="20"/>
          <w:u w:val="single"/>
        </w:rPr>
        <w:t>U</w:t>
      </w:r>
      <w:r>
        <w:rPr>
          <w:b w:val="0"/>
          <w:i w:val="0"/>
          <w:smallCaps w:val="0"/>
          <w:strike w:val="0"/>
          <w:sz w:val="20"/>
          <w:u w:val="single"/>
        </w:rPr>
        <w:t xml:space="preserve">nited </w:t>
      </w:r>
      <w:r>
        <w:rPr>
          <w:b w:val="0"/>
          <w:i w:val="0"/>
          <w:smallCaps w:val="0"/>
          <w:strike w:val="0"/>
          <w:sz w:val="20"/>
          <w:u w:val="single"/>
        </w:rPr>
        <w:t>S</w:t>
      </w:r>
      <w:r>
        <w:rPr>
          <w:b w:val="0"/>
          <w:i w:val="0"/>
          <w:smallCaps w:val="0"/>
          <w:strike w:val="0"/>
          <w:sz w:val="20"/>
          <w:u w:val="single"/>
        </w:rPr>
        <w:t xml:space="preserve">tates </w:t>
      </w:r>
      <w:r>
        <w:rPr>
          <w:b w:val="0"/>
          <w:i w:val="0"/>
          <w:smallCaps w:val="0"/>
          <w:strike w:val="0"/>
          <w:sz w:val="20"/>
          <w:u w:val="single"/>
        </w:rPr>
        <w:t>P</w:t>
      </w:r>
      <w:r>
        <w:rPr>
          <w:b w:val="0"/>
          <w:i w:val="0"/>
          <w:smallCaps w:val="0"/>
          <w:strike w:val="0"/>
          <w:sz w:val="20"/>
          <w:u w:val="single"/>
        </w:rPr>
        <w:t xml:space="preserve">atent and </w:t>
      </w:r>
      <w:r>
        <w:rPr>
          <w:b w:val="0"/>
          <w:i w:val="0"/>
          <w:smallCaps w:val="0"/>
          <w:strike w:val="0"/>
          <w:sz w:val="20"/>
          <w:u w:val="single"/>
        </w:rPr>
        <w:t>T</w:t>
      </w:r>
      <w:r>
        <w:rPr>
          <w:b w:val="0"/>
          <w:i w:val="0"/>
          <w:smallCaps w:val="0"/>
          <w:strike w:val="0"/>
          <w:sz w:val="20"/>
          <w:u w:val="single"/>
        </w:rPr>
        <w:t xml:space="preserve">rademark </w:t>
      </w:r>
      <w:r>
        <w:rPr>
          <w:b w:val="0"/>
          <w:i w:val="0"/>
          <w:smallCaps w:val="0"/>
          <w:strike w:val="0"/>
          <w:sz w:val="20"/>
          <w:u w:val="single"/>
        </w:rPr>
        <w:t>O</w:t>
      </w:r>
      <w:r>
        <w:rPr>
          <w:b w:val="0"/>
          <w:i w:val="0"/>
          <w:smallCaps w:val="0"/>
          <w:strike w:val="0"/>
          <w:sz w:val="20"/>
          <w:u w:val="single"/>
        </w:rPr>
        <w:t>ffice</w:t>
      </w:r>
      <w:r>
        <w:rPr>
          <w:b w:val="0"/>
          <w:i w:val="0"/>
          <w:smallCaps w:val="0"/>
          <w:strike w:val="0"/>
          <w:sz w:val="16"/>
          <w:u w:val="none"/>
        </w:rPr>
        <w:t xml:space="preserve">. As explained below, </w:t>
      </w:r>
      <w:r>
        <w:rPr>
          <w:b w:val="0"/>
          <w:i w:val="0"/>
          <w:smallCaps w:val="0"/>
          <w:strike w:val="0"/>
          <w:sz w:val="20"/>
          <w:highlight w:val="cyan"/>
          <w:u w:val="single"/>
        </w:rPr>
        <w:t>the end</w:t>
      </w:r>
      <w:r>
        <w:rPr>
          <w:b w:val="0"/>
          <w:i w:val="0"/>
          <w:smallCaps w:val="0"/>
          <w:strike w:val="0"/>
          <w:sz w:val="20"/>
          <w:u w:val="single"/>
        </w:rPr>
        <w:t xml:space="preserve"> of Chevron deference </w:t>
      </w:r>
      <w:r>
        <w:rPr>
          <w:b w:val="0"/>
          <w:i w:val="0"/>
          <w:smallCaps w:val="0"/>
          <w:strike w:val="0"/>
          <w:sz w:val="20"/>
          <w:highlight w:val="cyan"/>
          <w:u w:val="single"/>
        </w:rPr>
        <w:t>gives rise</w:t>
      </w:r>
      <w:r>
        <w:rPr>
          <w:b w:val="0"/>
          <w:i w:val="0"/>
          <w:smallCaps w:val="0"/>
          <w:strike w:val="0"/>
          <w:sz w:val="20"/>
          <w:highlight w:val="cyan"/>
          <w:u w:val="single"/>
        </w:rPr>
        <w:t xml:space="preserve"> to</w:t>
      </w:r>
      <w:r>
        <w:rPr>
          <w:b w:val="0"/>
          <w:i w:val="0"/>
          <w:smallCaps w:val="0"/>
          <w:strike w:val="0"/>
          <w:sz w:val="20"/>
          <w:u w:val="single"/>
        </w:rPr>
        <w:t xml:space="preserve"> many new potential </w:t>
      </w:r>
      <w:r>
        <w:rPr>
          <w:b w:val="0"/>
          <w:i w:val="0"/>
          <w:smallCaps w:val="0"/>
          <w:strike w:val="0"/>
          <w:sz w:val="20"/>
          <w:highlight w:val="cyan"/>
          <w:u w:val="single"/>
        </w:rPr>
        <w:t>challenges against</w:t>
      </w:r>
      <w:r>
        <w:rPr>
          <w:b w:val="0"/>
          <w:i w:val="0"/>
          <w:smallCaps w:val="0"/>
          <w:strike w:val="0"/>
          <w:sz w:val="20"/>
          <w:u w:val="single"/>
        </w:rPr>
        <w:t xml:space="preserve"> existing rules governing post grant proceedings (</w:t>
      </w:r>
      <w:r>
        <w:rPr>
          <w:b w:val="0"/>
          <w:i w:val="0"/>
          <w:smallCaps w:val="0"/>
          <w:strike w:val="0"/>
          <w:sz w:val="20"/>
          <w:highlight w:val="cyan"/>
          <w:u w:val="single"/>
        </w:rPr>
        <w:t>i</w:t>
      </w:r>
      <w:r>
        <w:rPr>
          <w:b w:val="0"/>
          <w:i w:val="0"/>
          <w:smallCaps w:val="0"/>
          <w:strike w:val="0"/>
          <w:sz w:val="20"/>
          <w:u w:val="single"/>
        </w:rPr>
        <w:t xml:space="preserve">nter </w:t>
      </w:r>
      <w:r>
        <w:rPr>
          <w:b w:val="0"/>
          <w:i w:val="0"/>
          <w:smallCaps w:val="0"/>
          <w:strike w:val="0"/>
          <w:sz w:val="20"/>
          <w:highlight w:val="cyan"/>
          <w:u w:val="single"/>
        </w:rPr>
        <w:t>p</w:t>
      </w:r>
      <w:r>
        <w:rPr>
          <w:b w:val="0"/>
          <w:i w:val="0"/>
          <w:smallCaps w:val="0"/>
          <w:strike w:val="0"/>
          <w:sz w:val="20"/>
          <w:u w:val="single"/>
        </w:rPr>
        <w:t xml:space="preserve">artes </w:t>
      </w:r>
      <w:r>
        <w:rPr>
          <w:b w:val="0"/>
          <w:i w:val="0"/>
          <w:smallCaps w:val="0"/>
          <w:strike w:val="0"/>
          <w:sz w:val="20"/>
          <w:highlight w:val="cyan"/>
          <w:u w:val="single"/>
        </w:rPr>
        <w:t>r</w:t>
      </w:r>
      <w:r>
        <w:rPr>
          <w:b w:val="0"/>
          <w:i w:val="0"/>
          <w:smallCaps w:val="0"/>
          <w:strike w:val="0"/>
          <w:sz w:val="20"/>
          <w:u w:val="single"/>
        </w:rPr>
        <w:t xml:space="preserve">eviews and post grant reviews) </w:t>
      </w:r>
      <w:r>
        <w:rPr>
          <w:b w:val="0"/>
          <w:i w:val="0"/>
          <w:smallCaps w:val="0"/>
          <w:strike w:val="0"/>
          <w:sz w:val="20"/>
          <w:highlight w:val="cyan"/>
          <w:u w:val="single"/>
        </w:rPr>
        <w:t xml:space="preserve">before the </w:t>
      </w:r>
      <w:r>
        <w:rPr>
          <w:b w:val="0"/>
          <w:i w:val="0"/>
          <w:smallCaps w:val="0"/>
          <w:strike w:val="0"/>
          <w:sz w:val="20"/>
          <w:highlight w:val="cyan"/>
          <w:u w:val="single"/>
        </w:rPr>
        <w:t>P</w:t>
      </w:r>
      <w:r>
        <w:rPr>
          <w:b w:val="0"/>
          <w:i w:val="0"/>
          <w:smallCaps w:val="0"/>
          <w:strike w:val="0"/>
          <w:sz w:val="20"/>
          <w:u w:val="single"/>
        </w:rPr>
        <w:t xml:space="preserve">atent </w:t>
      </w:r>
      <w:r>
        <w:rPr>
          <w:b w:val="0"/>
          <w:i w:val="0"/>
          <w:smallCaps w:val="0"/>
          <w:strike w:val="0"/>
          <w:sz w:val="20"/>
          <w:highlight w:val="cyan"/>
          <w:u w:val="single"/>
        </w:rPr>
        <w:t>T</w:t>
      </w:r>
      <w:r>
        <w:rPr>
          <w:b w:val="0"/>
          <w:i w:val="0"/>
          <w:smallCaps w:val="0"/>
          <w:strike w:val="0"/>
          <w:sz w:val="20"/>
          <w:u w:val="single"/>
        </w:rPr>
        <w:t xml:space="preserve">rial and </w:t>
      </w:r>
      <w:r>
        <w:rPr>
          <w:b w:val="0"/>
          <w:i w:val="0"/>
          <w:smallCaps w:val="0"/>
          <w:strike w:val="0"/>
          <w:sz w:val="20"/>
          <w:highlight w:val="cyan"/>
          <w:u w:val="single"/>
        </w:rPr>
        <w:t>A</w:t>
      </w:r>
      <w:r>
        <w:rPr>
          <w:b w:val="0"/>
          <w:i w:val="0"/>
          <w:smallCaps w:val="0"/>
          <w:strike w:val="0"/>
          <w:sz w:val="20"/>
          <w:u w:val="single"/>
        </w:rPr>
        <w:t xml:space="preserve">ppeal </w:t>
      </w:r>
      <w:r>
        <w:rPr>
          <w:b w:val="0"/>
          <w:i w:val="0"/>
          <w:smallCaps w:val="0"/>
          <w:strike w:val="0"/>
          <w:sz w:val="20"/>
          <w:highlight w:val="cyan"/>
          <w:u w:val="single"/>
        </w:rPr>
        <w:t>B</w:t>
      </w:r>
      <w:r>
        <w:rPr>
          <w:b w:val="0"/>
          <w:i w:val="0"/>
          <w:smallCaps w:val="0"/>
          <w:strike w:val="0"/>
          <w:sz w:val="20"/>
          <w:u w:val="single"/>
        </w:rPr>
        <w:t>oard.</w:t>
      </w:r>
    </w:p>
    <w:p>
      <w:pPr>
        <w:spacing w:after="60"/>
      </w:pPr>
      <w:r>
        <w:rPr>
          <w:b w:val="0"/>
          <w:i w:val="0"/>
          <w:smallCaps w:val="0"/>
          <w:strike w:val="0"/>
          <w:sz w:val="10"/>
          <w:u w:val="none"/>
        </w:rPr>
        <w:t>Chevron Deference</w:t>
      </w:r>
    </w:p>
    <w:p>
      <w:pPr>
        <w:spacing w:after="60"/>
      </w:pPr>
      <w:r>
        <w:rPr>
          <w:b w:val="0"/>
          <w:i w:val="0"/>
          <w:smallCaps w:val="0"/>
          <w:strike w:val="0"/>
          <w:sz w:val="10"/>
          <w:u w:val="none"/>
        </w:rPr>
        <w:t>Briefly, Chevron U.S.A., Inc. v. Natural Resources Defense Council, Inc., 467 U.S. 837 (1984) (Chevron) set forth the longstanding test for when courts had to defer to an administrative action involving statutory interpretation. Under Chevron, the first question is whether Congress has directly spoken to the question at issue. If Congress’s intent is clearly expressed by statute, then the court does not have to defer to the agency. If, however, the statutory language is silent or ambiguous, the court must proceed to the second step which considers whether the agency’s interpretation is based on a “permissible construction of the statute.”</w:t>
      </w:r>
    </w:p>
    <w:p>
      <w:pPr>
        <w:spacing w:after="60"/>
      </w:pPr>
      <w:r>
        <w:rPr>
          <w:b w:val="0"/>
          <w:i w:val="0"/>
          <w:smallCaps w:val="0"/>
          <w:strike w:val="0"/>
          <w:sz w:val="10"/>
          <w:u w:val="none"/>
        </w:rPr>
        <w:t>Justice Roberts, writing for the Court, called the Chevron test “unworkable” in part due to the fact that “the concept of ambiguity has always evaded meaningful definition.” The Loper Court thus held that “Chevron is overruled.” In doing so, the Court explained that “courts need not and under the APA may not defer to an agency interpretation of the law simply because a statute is ambiguous.”</w:t>
      </w:r>
    </w:p>
    <w:p>
      <w:pPr>
        <w:spacing w:after="60"/>
      </w:pPr>
      <w:r>
        <w:rPr>
          <w:b w:val="0"/>
          <w:i w:val="0"/>
          <w:smallCaps w:val="0"/>
          <w:strike w:val="0"/>
          <w:sz w:val="10"/>
          <w:u w:val="none"/>
        </w:rPr>
        <w:t>Application of Chevron Deference in Post Grant Proceedings</w:t>
      </w:r>
    </w:p>
    <w:p>
      <w:pPr>
        <w:spacing w:after="60"/>
      </w:pPr>
      <w:r>
        <w:rPr>
          <w:b w:val="0"/>
          <w:i w:val="0"/>
          <w:smallCaps w:val="0"/>
          <w:strike w:val="0"/>
          <w:sz w:val="10"/>
          <w:u w:val="none"/>
        </w:rPr>
        <w:t>In general, the Federal Circuit has declined to defer to the USPTO on substantive issues, holding that the patent statute does not authorize the USPTO to “issue substantive rules.”1 Nonetheless, Chevron has been cited numerous times by courts considering challenges to USPTO regulations relating to post grant proceedings. For the purpose of this article, we focus on those decisions which have relied on Chevron deference to uphold the USPTO’s regulation.</w:t>
      </w:r>
    </w:p>
    <w:p>
      <w:pPr>
        <w:spacing w:after="60"/>
      </w:pPr>
      <w:r>
        <w:rPr>
          <w:b w:val="0"/>
          <w:i w:val="0"/>
          <w:smallCaps w:val="0"/>
          <w:strike w:val="0"/>
          <w:sz w:val="10"/>
          <w:u w:val="none"/>
        </w:rPr>
        <w:t>One of the earliest such decisions, Cuozzo Speed Technologies v. Commerce for Intellectual Property2, concerned the standard for claim construction in an inter partes review. Cuozzo confirmed that the USPTO had permissibly required a broadest reasonable interpretation standard in view of a statute that granted it authority to issue regulations “governing inter partes review,” because no statutory provision unambiguously mandated a particular claim construction standard. The USPTO subsequently used this authority permitted under Chevron to change the claim construction standard for IPRs to a stricter standard aligned with that used in federal district court.</w:t>
      </w:r>
    </w:p>
    <w:p>
      <w:pPr>
        <w:spacing w:after="60"/>
      </w:pPr>
      <w:r>
        <w:rPr>
          <w:b w:val="0"/>
          <w:i w:val="0"/>
          <w:smallCaps w:val="0"/>
          <w:strike w:val="0"/>
          <w:sz w:val="10"/>
          <w:u w:val="none"/>
        </w:rPr>
        <w:t>In Ethicon Endo-Surgery, Inc. v. Covidien LP, the Federal Circuit considered whether the Director had the ability to delegate institution decisions to the PTAB.3 Answering that question in the affirmative, the Federal Circuit explained that the statute’s reference to “the Director” was ambiguous with respect to whether it required her personal involvement or direct oversight. The Court thus deferred to the USPTO rule allowing the Board to institute IPRs “on behalf of the Director.”</w:t>
      </w:r>
    </w:p>
    <w:p>
      <w:pPr>
        <w:spacing w:after="60"/>
      </w:pPr>
      <w:r>
        <w:rPr>
          <w:b w:val="0"/>
          <w:i w:val="0"/>
          <w:smallCaps w:val="0"/>
          <w:strike w:val="0"/>
          <w:sz w:val="10"/>
          <w:u w:val="none"/>
        </w:rPr>
        <w:t>The Federal Circuit has also given Chevron deference to the USPTO’s rulemaking relating to the scope of institution. In Harmonic Inc. v. Avid Technology, Inc., the Court upheld USPTO regulations permitting institution on fewer than all grounds when, in the view of the Board, other grounds were “redundant” to the instituted ground.4</w:t>
      </w:r>
    </w:p>
    <w:p>
      <w:pPr>
        <w:spacing w:after="60"/>
      </w:pPr>
      <w:r>
        <w:rPr>
          <w:b w:val="0"/>
          <w:i w:val="0"/>
          <w:smallCaps w:val="0"/>
          <w:strike w:val="0"/>
          <w:sz w:val="10"/>
          <w:u w:val="none"/>
        </w:rPr>
        <w:t>Will Post Grant Proceedings Change Without Chevron Deference?</w:t>
      </w:r>
    </w:p>
    <w:p>
      <w:pPr>
        <w:spacing w:after="60"/>
      </w:pPr>
      <w:r>
        <w:rPr>
          <w:b w:val="0"/>
          <w:i w:val="0"/>
          <w:smallCaps w:val="0"/>
          <w:strike w:val="0"/>
          <w:sz w:val="20"/>
          <w:u w:val="single"/>
        </w:rPr>
        <w:t xml:space="preserve">The now-overruled applications of Chevron deference provide a ready roadmap to areas where </w:t>
      </w:r>
      <w:r>
        <w:rPr>
          <w:b w:val="0"/>
          <w:i w:val="0"/>
          <w:smallCaps w:val="0"/>
          <w:strike w:val="0"/>
          <w:sz w:val="20"/>
          <w:highlight w:val="cyan"/>
          <w:u w:val="single"/>
        </w:rPr>
        <w:t>both petitioners and patentees could challenge existing</w:t>
      </w:r>
      <w:r>
        <w:rPr>
          <w:b w:val="0"/>
          <w:i w:val="0"/>
          <w:smallCaps w:val="0"/>
          <w:strike w:val="0"/>
          <w:sz w:val="20"/>
          <w:u w:val="single"/>
        </w:rPr>
        <w:t xml:space="preserve"> USPTO </w:t>
      </w:r>
      <w:r>
        <w:rPr>
          <w:b w:val="0"/>
          <w:i w:val="0"/>
          <w:smallCaps w:val="0"/>
          <w:strike w:val="0"/>
          <w:sz w:val="20"/>
          <w:highlight w:val="cyan"/>
          <w:u w:val="single"/>
        </w:rPr>
        <w:t>rules</w:t>
      </w:r>
      <w:r>
        <w:rPr>
          <w:b w:val="0"/>
          <w:i w:val="0"/>
          <w:smallCaps w:val="0"/>
          <w:strike w:val="0"/>
          <w:sz w:val="16"/>
          <w:u w:val="none"/>
        </w:rPr>
        <w:t>. Petitioners looking for broader claim targets may pursue a return to the broadest reasonable interpretation with the reasoning in Cuozzo now obsolete. Likewise, petitioners could soon challenge the USPTO’s exclusion of certain grounds of institution as exceeding the authority provided by 35 U.S.C. § 314.</w:t>
      </w:r>
    </w:p>
    <w:p>
      <w:pPr>
        <w:spacing w:after="60"/>
      </w:pPr>
      <w:r>
        <w:rPr>
          <w:b w:val="0"/>
          <w:i w:val="0"/>
          <w:smallCaps w:val="0"/>
          <w:strike w:val="0"/>
          <w:sz w:val="16"/>
          <w:u w:val="none"/>
        </w:rPr>
        <w:t xml:space="preserve">Beyond these apparent targets, there is certain to be litigation surrounding the USPTO’s ongoing rulemaking relating to discretionary denials. </w:t>
      </w:r>
      <w:r>
        <w:rPr>
          <w:b w:val="0"/>
          <w:i w:val="0"/>
          <w:smallCaps w:val="0"/>
          <w:strike w:val="0"/>
          <w:sz w:val="20"/>
          <w:highlight w:val="cyan"/>
          <w:u w:val="single"/>
        </w:rPr>
        <w:t>The</w:t>
      </w:r>
      <w:r>
        <w:rPr>
          <w:b w:val="0"/>
          <w:i w:val="0"/>
          <w:smallCaps w:val="0"/>
          <w:strike w:val="0"/>
          <w:sz w:val="20"/>
          <w:u w:val="single"/>
        </w:rPr>
        <w:t xml:space="preserve"> USPTO’s </w:t>
      </w:r>
      <w:r>
        <w:rPr>
          <w:b w:val="0"/>
          <w:i w:val="0"/>
          <w:smallCaps w:val="0"/>
          <w:strike w:val="0"/>
          <w:sz w:val="20"/>
          <w:highlight w:val="cyan"/>
          <w:u w:val="single"/>
        </w:rPr>
        <w:t>authority to deny</w:t>
      </w:r>
      <w:r>
        <w:rPr>
          <w:b w:val="0"/>
          <w:i w:val="0"/>
          <w:smallCaps w:val="0"/>
          <w:strike w:val="0"/>
          <w:sz w:val="20"/>
          <w:highlight w:val="cyan"/>
          <w:u w:val="single"/>
        </w:rPr>
        <w:t xml:space="preserve"> an</w:t>
      </w:r>
      <w:r>
        <w:rPr>
          <w:b w:val="0"/>
          <w:i w:val="0"/>
          <w:smallCaps w:val="0"/>
          <w:strike w:val="0"/>
          <w:sz w:val="20"/>
          <w:u w:val="single"/>
        </w:rPr>
        <w:t xml:space="preserve"> otherwise meritorious </w:t>
      </w:r>
      <w:r>
        <w:rPr>
          <w:b w:val="0"/>
          <w:i w:val="0"/>
          <w:smallCaps w:val="0"/>
          <w:strike w:val="0"/>
          <w:sz w:val="20"/>
          <w:highlight w:val="cyan"/>
          <w:u w:val="single"/>
        </w:rPr>
        <w:t>IPR petition</w:t>
      </w:r>
      <w:r>
        <w:rPr>
          <w:b w:val="0"/>
          <w:i w:val="0"/>
          <w:smallCaps w:val="0"/>
          <w:strike w:val="0"/>
          <w:sz w:val="20"/>
          <w:u w:val="single"/>
        </w:rPr>
        <w:t xml:space="preserve"> derives from 35 U.S.C. § 325(d),</w:t>
      </w:r>
      <w:r>
        <w:rPr>
          <w:b w:val="0"/>
          <w:i w:val="0"/>
          <w:smallCaps w:val="0"/>
          <w:strike w:val="0"/>
          <w:sz w:val="16"/>
          <w:u w:val="none"/>
        </w:rPr>
        <w:t xml:space="preserve"> which states the Director may deny institution in situations in which “the same </w:t>
      </w:r>
      <w:r>
        <w:rPr>
          <w:b w:val="0"/>
          <w:i w:val="0"/>
          <w:smallCaps w:val="0"/>
          <w:strike w:val="0"/>
          <w:sz w:val="20"/>
          <w:highlight w:val="cyan"/>
          <w:u w:val="single"/>
        </w:rPr>
        <w:t>or</w:t>
      </w:r>
      <w:r>
        <w:rPr>
          <w:b w:val="0"/>
          <w:i w:val="0"/>
          <w:smallCaps w:val="0"/>
          <w:strike w:val="0"/>
          <w:sz w:val="16"/>
          <w:u w:val="none"/>
        </w:rPr>
        <w:t xml:space="preserve"> substantially the same prior art or arguments previously were presented to the Office.” </w:t>
      </w:r>
      <w:r>
        <w:rPr>
          <w:b w:val="0"/>
          <w:i w:val="0"/>
          <w:smallCaps w:val="0"/>
          <w:strike w:val="0"/>
          <w:sz w:val="20"/>
          <w:u w:val="single"/>
        </w:rPr>
        <w:t xml:space="preserve">While the USPTO has claimed </w:t>
      </w:r>
      <w:r>
        <w:rPr>
          <w:b w:val="0"/>
          <w:i w:val="0"/>
          <w:smallCaps w:val="0"/>
          <w:strike w:val="0"/>
          <w:sz w:val="20"/>
          <w:highlight w:val="cyan"/>
          <w:u w:val="single"/>
        </w:rPr>
        <w:t>rulemaking authority</w:t>
      </w:r>
      <w:r>
        <w:rPr>
          <w:b w:val="0"/>
          <w:i w:val="0"/>
          <w:smallCaps w:val="0"/>
          <w:strike w:val="0"/>
          <w:sz w:val="20"/>
          <w:u w:val="single"/>
        </w:rPr>
        <w:t xml:space="preserve"> with respect to discretionary denials, the new lack of Chevron deference </w:t>
      </w:r>
      <w:r>
        <w:rPr>
          <w:b w:val="0"/>
          <w:i w:val="0"/>
          <w:smallCaps w:val="0"/>
          <w:strike w:val="0"/>
          <w:sz w:val="20"/>
          <w:highlight w:val="cyan"/>
          <w:u w:val="single"/>
        </w:rPr>
        <w:t>will</w:t>
      </w:r>
      <w:r>
        <w:rPr>
          <w:b w:val="0"/>
          <w:i w:val="0"/>
          <w:smallCaps w:val="0"/>
          <w:strike w:val="0"/>
          <w:sz w:val="20"/>
          <w:u w:val="single"/>
        </w:rPr>
        <w:t xml:space="preserve"> certainly </w:t>
      </w:r>
      <w:r>
        <w:rPr>
          <w:b w:val="0"/>
          <w:i w:val="0"/>
          <w:smallCaps w:val="0"/>
          <w:strike w:val="0"/>
          <w:sz w:val="20"/>
          <w:highlight w:val="cyan"/>
          <w:u w:val="single"/>
        </w:rPr>
        <w:t>raise questions</w:t>
      </w:r>
      <w:r>
        <w:rPr>
          <w:b w:val="0"/>
          <w:i w:val="0"/>
          <w:smallCaps w:val="0"/>
          <w:strike w:val="0"/>
          <w:sz w:val="20"/>
          <w:u w:val="single"/>
        </w:rPr>
        <w:t xml:space="preserve"> as to the limits of this discretion.</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