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It allows challenges to PTAB.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Chaikovsky</w:t>
      </w:r>
      <w:r>
        <w:rPr>
          <w:b/>
          <w:i w:val="0"/>
          <w:smallCaps w:val="0"/>
          <w:strike w:val="0"/>
          <w:sz w:val="24"/>
          <w:u w:val="none"/>
        </w:rPr>
        <w:t xml:space="preserve"> et al. ’24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 xml:space="preserve">Yar R. Chaikovsky is a leading intellectual property lawyer and Chair of the White &amp; Case Global Intellectual Property group; Mark Davies; Ethan Plail; Edred Richardson; </w:t>
      </w:r>
      <w:r>
        <w:rPr>
          <w:b w:val="0"/>
          <w:i/>
          <w:smallCaps w:val="0"/>
          <w:strike w:val="0"/>
          <w:sz w:val="20"/>
          <w:u w:val="none"/>
        </w:rPr>
        <w:t>White &amp; Case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“Chevron is Done — What Does Loper mean for the PTAB and ITC?” </w:t>
      </w:r>
      <w:r>
        <w:rPr>
          <w:b w:val="0"/>
          <w:i w:val="0"/>
          <w:smallCaps w:val="0"/>
          <w:strike w:val="0"/>
          <w:sz w:val="20"/>
          <w:u w:val="none"/>
        </w:rPr>
        <w:t>https://www.whitecase.com/insight-alert/chevron-done-what-does-loper-mean-ptab-and-itc]//LASA-AB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 Loper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Bright Enterprises v. Raimondo,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Supreme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Court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expressly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overruled Chevron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USA Inc. v. Natural Resources Defense Council, Inc.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landmark 6-3 ruling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ends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nearly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40-years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Chevron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deference</w:t>
      </w:r>
      <w:r>
        <w:rPr>
          <w:b w:val="0"/>
          <w:i w:val="0"/>
          <w:smallCaps w:val="0"/>
          <w:strike w:val="0"/>
          <w:sz w:val="20"/>
          <w:u w:val="single"/>
        </w:rPr>
        <w:t>, the doctrine of deferring to an agency's interpretation of allegedly ambiguous statutory language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Instead, courts will now exercise independent judgment over statutory interpretation traditionally under the purview of agencies.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ruling will increase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opportunities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regulated companies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challenge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agency rules, including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proceedings before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Patent Trial and Appeal Board (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PTAB</w:t>
      </w:r>
      <w:r>
        <w:rPr>
          <w:b w:val="0"/>
          <w:i w:val="0"/>
          <w:smallCaps w:val="0"/>
          <w:strike w:val="0"/>
          <w:sz w:val="20"/>
          <w:u w:val="single"/>
        </w:rPr>
        <w:t>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International Trade Commission (ITC). The ruling also calls into question the powers courts will have to make judgments in the fields of science and tech (including A.I.).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