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Courts has maintained a precedence that IPR is a public right</w:t>
      </w:r>
    </w:p>
    <w:p>
      <w:pPr>
        <w:spacing w:after="80"/>
      </w:pPr>
      <w:r>
        <w:rPr>
          <w:b/>
          <w:i w:val="0"/>
          <w:smallCaps w:val="0"/>
          <w:strike w:val="0"/>
          <w:sz w:val="24"/>
          <w:u w:val="none"/>
        </w:rPr>
        <w:t>S</w:t>
      </w:r>
      <w:r>
        <w:rPr>
          <w:b w:val="0"/>
          <w:i w:val="0"/>
          <w:smallCaps w:val="0"/>
          <w:strike w:val="0"/>
          <w:sz w:val="20"/>
          <w:u w:val="none"/>
        </w:rPr>
        <w:t xml:space="preserve">chwabe </w:t>
      </w:r>
      <w:r>
        <w:rPr>
          <w:b/>
          <w:i w:val="0"/>
          <w:smallCaps w:val="0"/>
          <w:strike w:val="0"/>
          <w:sz w:val="24"/>
          <w:u w:val="none"/>
        </w:rPr>
        <w:t>W</w:t>
      </w:r>
      <w:r>
        <w:rPr>
          <w:b w:val="0"/>
          <w:i w:val="0"/>
          <w:smallCaps w:val="0"/>
          <w:strike w:val="0"/>
          <w:sz w:val="20"/>
          <w:u w:val="none"/>
        </w:rPr>
        <w:t xml:space="preserve">illiamson </w:t>
      </w:r>
      <w:r>
        <w:rPr>
          <w:b/>
          <w:i w:val="0"/>
          <w:smallCaps w:val="0"/>
          <w:strike w:val="0"/>
          <w:sz w:val="24"/>
          <w:u w:val="none"/>
        </w:rPr>
        <w:t>W</w:t>
      </w:r>
      <w:r>
        <w:rPr>
          <w:b w:val="0"/>
          <w:i w:val="0"/>
          <w:smallCaps w:val="0"/>
          <w:strike w:val="0"/>
          <w:sz w:val="20"/>
          <w:u w:val="none"/>
        </w:rPr>
        <w:t xml:space="preserve">yatt PC </w:t>
      </w:r>
      <w:r>
        <w:rPr>
          <w:b/>
          <w:i w:val="0"/>
          <w:smallCaps w:val="0"/>
          <w:strike w:val="0"/>
          <w:sz w:val="24"/>
          <w:u w:val="none"/>
        </w:rPr>
        <w:t>’</w:t>
      </w:r>
      <w:r>
        <w:rPr>
          <w:b/>
          <w:i w:val="0"/>
          <w:smallCaps w:val="0"/>
          <w:strike w:val="0"/>
          <w:sz w:val="24"/>
          <w:u w:val="none"/>
        </w:rPr>
        <w:t>18</w:t>
      </w:r>
      <w:r>
        <w:rPr>
          <w:b/>
          <w:i w:val="0"/>
          <w:smallCaps w:val="0"/>
          <w:strike w:val="0"/>
          <w:sz w:val="24"/>
          <w:u w:val="none"/>
        </w:rPr>
        <w:t xml:space="preserve"> </w:t>
      </w:r>
      <w:r>
        <w:rPr>
          <w:b w:val="0"/>
          <w:i w:val="0"/>
          <w:smallCaps w:val="0"/>
          <w:strike w:val="0"/>
          <w:sz w:val="20"/>
          <w:u w:val="none"/>
        </w:rPr>
        <w:t xml:space="preserve">[law firm, advises legal rights and responsibilities, represent clients in civil or criminal cases, business transactions, “Breaking IP News: US Supreme Court Issues Landmark Decisions in Oil States and SAS”, JD Supra, Accessed through Nexis Uni, 4/25/2018, </w:t>
      </w:r>
      <w:r>
        <w:rPr>
          <w:b w:val="0"/>
          <w:i w:val="0"/>
          <w:smallCaps w:val="0"/>
          <w:strike w:val="0"/>
          <w:sz w:val="20"/>
          <w:u w:val="none"/>
        </w:rPr>
        <w:t>, MP3]</w:t>
      </w:r>
    </w:p>
    <w:p>
      <w:pPr>
        <w:spacing w:after="60"/>
      </w:pPr>
      <w:r>
        <w:rPr>
          <w:b w:val="0"/>
          <w:i w:val="0"/>
          <w:smallCaps w:val="0"/>
          <w:strike w:val="0"/>
          <w:sz w:val="14"/>
          <w:u w:val="none"/>
        </w:rPr>
        <w:t xml:space="preserve">The </w:t>
      </w:r>
      <w:r>
        <w:rPr>
          <w:b w:val="0"/>
          <w:i w:val="0"/>
          <w:smallCaps w:val="0"/>
          <w:strike w:val="0"/>
          <w:sz w:val="20"/>
          <w:u w:val="single"/>
        </w:rPr>
        <w:t>case hinged on</w:t>
      </w:r>
      <w:r>
        <w:rPr>
          <w:b w:val="0"/>
          <w:i w:val="0"/>
          <w:smallCaps w:val="0"/>
          <w:strike w:val="0"/>
          <w:sz w:val="14"/>
          <w:u w:val="none"/>
        </w:rPr>
        <w:t xml:space="preserve"> </w:t>
      </w:r>
      <w:r>
        <w:rPr>
          <w:b w:val="0"/>
          <w:i w:val="0"/>
          <w:smallCaps w:val="0"/>
          <w:strike w:val="0"/>
          <w:sz w:val="20"/>
          <w:u w:val="single"/>
        </w:rPr>
        <w:t>whether</w:t>
      </w:r>
      <w:r>
        <w:rPr>
          <w:b w:val="0"/>
          <w:i w:val="0"/>
          <w:smallCaps w:val="0"/>
          <w:strike w:val="0"/>
          <w:sz w:val="20"/>
          <w:u w:val="single"/>
        </w:rPr>
        <w:t xml:space="preserve"> </w:t>
      </w:r>
      <w:r>
        <w:rPr>
          <w:b w:val="0"/>
          <w:i w:val="0"/>
          <w:smallCaps w:val="0"/>
          <w:strike w:val="0"/>
          <w:sz w:val="20"/>
          <w:highlight w:val="cyan"/>
          <w:u w:val="single"/>
        </w:rPr>
        <w:t>patents</w:t>
      </w:r>
      <w:r>
        <w:rPr>
          <w:b w:val="0"/>
          <w:i w:val="0"/>
          <w:smallCaps w:val="0"/>
          <w:strike w:val="0"/>
          <w:sz w:val="20"/>
          <w:u w:val="single"/>
        </w:rPr>
        <w:t xml:space="preserve"> </w:t>
      </w:r>
      <w:r>
        <w:rPr>
          <w:b w:val="0"/>
          <w:i w:val="0"/>
          <w:smallCaps w:val="0"/>
          <w:strike w:val="0"/>
          <w:sz w:val="20"/>
          <w:highlight w:val="cyan"/>
          <w:u w:val="single"/>
        </w:rPr>
        <w:t>are</w:t>
      </w:r>
      <w:r>
        <w:rPr>
          <w:b w:val="0"/>
          <w:i w:val="0"/>
          <w:smallCaps w:val="0"/>
          <w:strike w:val="0"/>
          <w:sz w:val="14"/>
          <w:u w:val="none"/>
        </w:rPr>
        <w:t xml:space="preserve"> considered </w:t>
      </w:r>
      <w:r>
        <w:rPr>
          <w:b w:val="0"/>
          <w:i w:val="0"/>
          <w:smallCaps w:val="0"/>
          <w:strike w:val="0"/>
          <w:sz w:val="20"/>
          <w:highlight w:val="cyan"/>
          <w:u w:val="single"/>
        </w:rPr>
        <w:t>'public rights'</w:t>
      </w:r>
      <w:r>
        <w:rPr>
          <w:b w:val="0"/>
          <w:i w:val="0"/>
          <w:smallCaps w:val="0"/>
          <w:strike w:val="0"/>
          <w:sz w:val="14"/>
          <w:u w:val="none"/>
        </w:rPr>
        <w:t xml:space="preserve"> </w:t>
      </w:r>
      <w:r>
        <w:rPr>
          <w:b w:val="0"/>
          <w:i w:val="0"/>
          <w:smallCaps w:val="0"/>
          <w:strike w:val="0"/>
          <w:sz w:val="20"/>
          <w:u w:val="single"/>
        </w:rPr>
        <w:t xml:space="preserve">or </w:t>
      </w:r>
      <w:r>
        <w:rPr>
          <w:b w:val="0"/>
          <w:i w:val="0"/>
          <w:smallCaps w:val="0"/>
          <w:strike w:val="0"/>
          <w:sz w:val="20"/>
          <w:u w:val="single"/>
        </w:rPr>
        <w:t>'private rights</w:t>
      </w:r>
      <w:r>
        <w:rPr>
          <w:b w:val="0"/>
          <w:i w:val="0"/>
          <w:smallCaps w:val="0"/>
          <w:strike w:val="0"/>
          <w:sz w:val="20"/>
          <w:u w:val="single"/>
        </w:rPr>
        <w:t>.</w:t>
      </w:r>
      <w:r>
        <w:rPr>
          <w:b w:val="0"/>
          <w:i w:val="0"/>
          <w:smallCaps w:val="0"/>
          <w:strike w:val="0"/>
          <w:sz w:val="14"/>
          <w:u w:val="none"/>
        </w:rPr>
        <w:t xml:space="preserve">' This </w:t>
      </w:r>
      <w:r>
        <w:rPr>
          <w:b w:val="0"/>
          <w:i w:val="0"/>
          <w:smallCaps w:val="0"/>
          <w:strike w:val="0"/>
          <w:sz w:val="20"/>
          <w:u w:val="single"/>
        </w:rPr>
        <w:t>distinction</w:t>
      </w:r>
      <w:r>
        <w:rPr>
          <w:b w:val="0"/>
          <w:i w:val="0"/>
          <w:smallCaps w:val="0"/>
          <w:strike w:val="0"/>
          <w:sz w:val="14"/>
          <w:u w:val="none"/>
        </w:rPr>
        <w:t xml:space="preserve"> </w:t>
      </w:r>
      <w:r>
        <w:rPr>
          <w:b w:val="0"/>
          <w:i w:val="0"/>
          <w:smallCaps w:val="0"/>
          <w:strike w:val="0"/>
          <w:sz w:val="20"/>
          <w:u w:val="single"/>
        </w:rPr>
        <w:t>is important</w:t>
      </w:r>
      <w:r>
        <w:rPr>
          <w:b w:val="0"/>
          <w:i w:val="0"/>
          <w:smallCaps w:val="0"/>
          <w:strike w:val="0"/>
          <w:sz w:val="14"/>
          <w:u w:val="none"/>
        </w:rPr>
        <w:t xml:space="preserve"> because, generally, </w:t>
      </w:r>
      <w:r>
        <w:rPr>
          <w:b w:val="0"/>
          <w:i w:val="0"/>
          <w:smallCaps w:val="0"/>
          <w:strike w:val="0"/>
          <w:sz w:val="14"/>
          <w:highlight w:val="cyan"/>
          <w:u w:val="none"/>
        </w:rPr>
        <w:t>'</w:t>
      </w:r>
      <w:r>
        <w:rPr>
          <w:b w:val="0"/>
          <w:i w:val="0"/>
          <w:smallCaps w:val="0"/>
          <w:strike w:val="0"/>
          <w:sz w:val="20"/>
          <w:highlight w:val="cyan"/>
          <w:u w:val="single"/>
        </w:rPr>
        <w:t>Congress</w:t>
      </w:r>
      <w:r>
        <w:rPr>
          <w:b w:val="0"/>
          <w:i w:val="0"/>
          <w:smallCaps w:val="0"/>
          <w:strike w:val="0"/>
          <w:sz w:val="14"/>
          <w:highlight w:val="cyan"/>
          <w:u w:val="none"/>
        </w:rPr>
        <w:t xml:space="preserve"> [</w:t>
      </w:r>
      <w:r>
        <w:rPr>
          <w:b w:val="0"/>
          <w:i w:val="0"/>
          <w:smallCaps w:val="0"/>
          <w:strike w:val="0"/>
          <w:sz w:val="20"/>
          <w:highlight w:val="cyan"/>
          <w:u w:val="single"/>
        </w:rPr>
        <w:t>has</w:t>
      </w:r>
      <w:r>
        <w:rPr>
          <w:b w:val="0"/>
          <w:i w:val="0"/>
          <w:smallCaps w:val="0"/>
          <w:strike w:val="0"/>
          <w:sz w:val="14"/>
          <w:u w:val="none"/>
        </w:rPr>
        <w:t xml:space="preserve">] significant </w:t>
      </w:r>
      <w:r>
        <w:rPr>
          <w:b w:val="0"/>
          <w:i w:val="0"/>
          <w:smallCaps w:val="0"/>
          <w:strike w:val="0"/>
          <w:sz w:val="20"/>
          <w:highlight w:val="cyan"/>
          <w:u w:val="single"/>
        </w:rPr>
        <w:t>latitude</w:t>
      </w:r>
      <w:r>
        <w:rPr>
          <w:b w:val="0"/>
          <w:i w:val="0"/>
          <w:smallCaps w:val="0"/>
          <w:strike w:val="0"/>
          <w:sz w:val="14"/>
          <w:highlight w:val="cyan"/>
          <w:u w:val="none"/>
        </w:rPr>
        <w:t xml:space="preserve"> </w:t>
      </w:r>
      <w:r>
        <w:rPr>
          <w:b w:val="0"/>
          <w:i w:val="0"/>
          <w:smallCaps w:val="0"/>
          <w:strike w:val="0"/>
          <w:sz w:val="20"/>
          <w:highlight w:val="cyan"/>
          <w:u w:val="single"/>
        </w:rPr>
        <w:t xml:space="preserve">to assign </w:t>
      </w:r>
      <w:r>
        <w:rPr>
          <w:b w:val="0"/>
          <w:i w:val="0"/>
          <w:smallCaps w:val="0"/>
          <w:strike w:val="0"/>
          <w:sz w:val="20"/>
          <w:highlight w:val="cyan"/>
          <w:u w:val="single"/>
        </w:rPr>
        <w:t>adjudication</w:t>
      </w:r>
      <w:r>
        <w:rPr>
          <w:b w:val="0"/>
          <w:i w:val="0"/>
          <w:smallCaps w:val="0"/>
          <w:strike w:val="0"/>
          <w:sz w:val="20"/>
          <w:highlight w:val="cyan"/>
          <w:u w:val="single"/>
        </w:rPr>
        <w:t xml:space="preserve"> of </w:t>
      </w:r>
      <w:r>
        <w:rPr>
          <w:b w:val="0"/>
          <w:i w:val="0"/>
          <w:smallCaps w:val="0"/>
          <w:strike w:val="0"/>
          <w:sz w:val="20"/>
          <w:highlight w:val="cyan"/>
          <w:u w:val="single"/>
        </w:rPr>
        <w:t>public right</w:t>
      </w:r>
      <w:r>
        <w:rPr>
          <w:b w:val="0"/>
          <w:i w:val="0"/>
          <w:smallCaps w:val="0"/>
          <w:strike w:val="0"/>
          <w:sz w:val="20"/>
          <w:highlight w:val="cyan"/>
          <w:u w:val="single"/>
        </w:rPr>
        <w:t xml:space="preserve"> to</w:t>
      </w:r>
      <w:r>
        <w:rPr>
          <w:b w:val="0"/>
          <w:i w:val="0"/>
          <w:smallCaps w:val="0"/>
          <w:strike w:val="0"/>
          <w:sz w:val="20"/>
          <w:u w:val="single"/>
        </w:rPr>
        <w:t xml:space="preserve"> entities other than Article III courts</w:t>
      </w:r>
      <w:r>
        <w:rPr>
          <w:b w:val="0"/>
          <w:i w:val="0"/>
          <w:smallCaps w:val="0"/>
          <w:strike w:val="0"/>
          <w:sz w:val="14"/>
          <w:u w:val="none"/>
        </w:rPr>
        <w:t xml:space="preserve">.' </w:t>
      </w:r>
      <w:r>
        <w:rPr>
          <w:b w:val="0"/>
          <w:i w:val="0"/>
          <w:smallCaps w:val="0"/>
          <w:strike w:val="0"/>
          <w:sz w:val="20"/>
          <w:u w:val="single"/>
        </w:rPr>
        <w:t xml:space="preserve">Public rights </w:t>
      </w:r>
      <w:r>
        <w:rPr>
          <w:b w:val="0"/>
          <w:i w:val="0"/>
          <w:smallCaps w:val="0"/>
          <w:strike w:val="0"/>
          <w:sz w:val="20"/>
          <w:highlight w:val="cyan"/>
          <w:u w:val="single"/>
        </w:rPr>
        <w:t>cover</w:t>
      </w:r>
      <w:r>
        <w:rPr>
          <w:b w:val="0"/>
          <w:i w:val="0"/>
          <w:smallCaps w:val="0"/>
          <w:strike w:val="0"/>
          <w:sz w:val="14"/>
          <w:highlight w:val="cyan"/>
          <w:u w:val="none"/>
        </w:rPr>
        <w:t xml:space="preserve"> </w:t>
      </w:r>
      <w:r>
        <w:rPr>
          <w:b w:val="0"/>
          <w:i w:val="0"/>
          <w:smallCaps w:val="0"/>
          <w:strike w:val="0"/>
          <w:sz w:val="20"/>
          <w:highlight w:val="cyan"/>
          <w:u w:val="single"/>
        </w:rPr>
        <w:t>matters</w:t>
      </w:r>
      <w:r>
        <w:rPr>
          <w:b w:val="0"/>
          <w:i w:val="0"/>
          <w:smallCaps w:val="0"/>
          <w:strike w:val="0"/>
          <w:sz w:val="14"/>
          <w:u w:val="none"/>
        </w:rPr>
        <w:t xml:space="preserve"> 'which </w:t>
      </w:r>
      <w:r>
        <w:rPr>
          <w:b w:val="0"/>
          <w:i w:val="0"/>
          <w:smallCaps w:val="0"/>
          <w:strike w:val="0"/>
          <w:sz w:val="20"/>
          <w:highlight w:val="cyan"/>
          <w:u w:val="single"/>
        </w:rPr>
        <w:t>arise</w:t>
      </w:r>
      <w:r>
        <w:rPr>
          <w:b w:val="0"/>
          <w:i w:val="0"/>
          <w:smallCaps w:val="0"/>
          <w:strike w:val="0"/>
          <w:sz w:val="14"/>
          <w:highlight w:val="cyan"/>
          <w:u w:val="none"/>
        </w:rPr>
        <w:t xml:space="preserve"> </w:t>
      </w:r>
      <w:r>
        <w:rPr>
          <w:b w:val="0"/>
          <w:i w:val="0"/>
          <w:smallCaps w:val="0"/>
          <w:strike w:val="0"/>
          <w:sz w:val="20"/>
          <w:highlight w:val="cyan"/>
          <w:u w:val="single"/>
        </w:rPr>
        <w:t>between</w:t>
      </w:r>
      <w:r>
        <w:rPr>
          <w:b w:val="0"/>
          <w:i w:val="0"/>
          <w:smallCaps w:val="0"/>
          <w:strike w:val="0"/>
          <w:sz w:val="20"/>
          <w:u w:val="single"/>
        </w:rPr>
        <w:t xml:space="preserve"> the</w:t>
      </w:r>
      <w:r>
        <w:rPr>
          <w:b w:val="0"/>
          <w:i w:val="0"/>
          <w:smallCaps w:val="0"/>
          <w:strike w:val="0"/>
          <w:sz w:val="14"/>
          <w:u w:val="none"/>
        </w:rPr>
        <w:t xml:space="preserve"> </w:t>
      </w:r>
      <w:r>
        <w:rPr>
          <w:b w:val="0"/>
          <w:i w:val="0"/>
          <w:smallCaps w:val="0"/>
          <w:strike w:val="0"/>
          <w:sz w:val="20"/>
          <w:highlight w:val="cyan"/>
          <w:u w:val="single"/>
        </w:rPr>
        <w:t>Government</w:t>
      </w:r>
      <w:r>
        <w:rPr>
          <w:b w:val="0"/>
          <w:i w:val="0"/>
          <w:smallCaps w:val="0"/>
          <w:strike w:val="0"/>
          <w:sz w:val="14"/>
          <w:highlight w:val="cyan"/>
          <w:u w:val="none"/>
        </w:rPr>
        <w:t xml:space="preserve"> </w:t>
      </w:r>
      <w:r>
        <w:rPr>
          <w:b w:val="0"/>
          <w:i w:val="0"/>
          <w:smallCaps w:val="0"/>
          <w:strike w:val="0"/>
          <w:sz w:val="20"/>
          <w:highlight w:val="cyan"/>
          <w:u w:val="single"/>
        </w:rPr>
        <w:t xml:space="preserve">and </w:t>
      </w:r>
      <w:r>
        <w:rPr>
          <w:b w:val="0"/>
          <w:i w:val="0"/>
          <w:smallCaps w:val="0"/>
          <w:strike w:val="0"/>
          <w:sz w:val="20"/>
          <w:highlight w:val="cyan"/>
          <w:u w:val="single"/>
        </w:rPr>
        <w:t>persons</w:t>
      </w:r>
      <w:r>
        <w:rPr>
          <w:b w:val="0"/>
          <w:i w:val="0"/>
          <w:smallCaps w:val="0"/>
          <w:strike w:val="0"/>
          <w:sz w:val="20"/>
          <w:u w:val="single"/>
        </w:rPr>
        <w:t xml:space="preserve"> subject to its authority</w:t>
      </w:r>
      <w:r>
        <w:rPr>
          <w:b w:val="0"/>
          <w:i w:val="0"/>
          <w:smallCaps w:val="0"/>
          <w:strike w:val="0"/>
          <w:sz w:val="14"/>
          <w:u w:val="none"/>
        </w:rPr>
        <w:t xml:space="preserve"> </w:t>
      </w:r>
      <w:r>
        <w:rPr>
          <w:b w:val="0"/>
          <w:i w:val="0"/>
          <w:smallCaps w:val="0"/>
          <w:strike w:val="0"/>
          <w:sz w:val="20"/>
          <w:u w:val="single"/>
        </w:rPr>
        <w:t>in connection with the performance of the constitutional functions of the executive or legislative departments</w:t>
      </w:r>
      <w:r>
        <w:rPr>
          <w:b w:val="0"/>
          <w:i w:val="0"/>
          <w:smallCaps w:val="0"/>
          <w:strike w:val="0"/>
          <w:sz w:val="14"/>
          <w:u w:val="none"/>
        </w:rPr>
        <w:t xml:space="preserve">.' In this case, Justice </w:t>
      </w:r>
      <w:r>
        <w:rPr>
          <w:b w:val="0"/>
          <w:i w:val="0"/>
          <w:smallCaps w:val="0"/>
          <w:strike w:val="0"/>
          <w:sz w:val="20"/>
          <w:u w:val="single"/>
        </w:rPr>
        <w:t>Thomas</w:t>
      </w:r>
      <w:r>
        <w:rPr>
          <w:b w:val="0"/>
          <w:i w:val="0"/>
          <w:smallCaps w:val="0"/>
          <w:strike w:val="0"/>
          <w:sz w:val="14"/>
          <w:u w:val="none"/>
        </w:rPr>
        <w:t>, on behalf of a seven-justice majority</w:t>
      </w:r>
      <w:r>
        <w:rPr>
          <w:b w:val="0"/>
          <w:i w:val="0"/>
          <w:smallCaps w:val="0"/>
          <w:strike w:val="0"/>
          <w:sz w:val="20"/>
          <w:u w:val="single"/>
        </w:rPr>
        <w:t>, wrote that</w:t>
      </w:r>
      <w:r>
        <w:rPr>
          <w:b w:val="0"/>
          <w:i w:val="0"/>
          <w:smallCaps w:val="0"/>
          <w:strike w:val="0"/>
          <w:sz w:val="14"/>
          <w:u w:val="none"/>
        </w:rPr>
        <w:t xml:space="preserve">, </w:t>
      </w:r>
      <w:r>
        <w:rPr>
          <w:b w:val="0"/>
          <w:i w:val="0"/>
          <w:smallCaps w:val="0"/>
          <w:strike w:val="0"/>
          <w:sz w:val="20"/>
          <w:highlight w:val="cyan"/>
          <w:u w:val="single"/>
        </w:rPr>
        <w:t>notwithstanding</w:t>
      </w:r>
      <w:r>
        <w:rPr>
          <w:b w:val="0"/>
          <w:i w:val="0"/>
          <w:smallCaps w:val="0"/>
          <w:strike w:val="0"/>
          <w:sz w:val="14"/>
          <w:u w:val="none"/>
        </w:rPr>
        <w:t xml:space="preserve"> </w:t>
      </w:r>
      <w:r>
        <w:rPr>
          <w:b w:val="0"/>
          <w:i w:val="0"/>
          <w:smallCaps w:val="0"/>
          <w:strike w:val="0"/>
          <w:sz w:val="20"/>
          <w:u w:val="single"/>
        </w:rPr>
        <w:t xml:space="preserve">a </w:t>
      </w:r>
      <w:r>
        <w:rPr>
          <w:b w:val="0"/>
          <w:i w:val="0"/>
          <w:smallCaps w:val="0"/>
          <w:strike w:val="0"/>
          <w:sz w:val="20"/>
          <w:highlight w:val="cyan"/>
          <w:u w:val="single"/>
        </w:rPr>
        <w:t>lack of clarity</w:t>
      </w:r>
      <w:r>
        <w:rPr>
          <w:b w:val="0"/>
          <w:i w:val="0"/>
          <w:smallCaps w:val="0"/>
          <w:strike w:val="0"/>
          <w:sz w:val="20"/>
          <w:highlight w:val="cyan"/>
          <w:u w:val="single"/>
        </w:rPr>
        <w:t xml:space="preserve"> over</w:t>
      </w:r>
      <w:r>
        <w:rPr>
          <w:b w:val="0"/>
          <w:i w:val="0"/>
          <w:smallCaps w:val="0"/>
          <w:strike w:val="0"/>
          <w:sz w:val="14"/>
          <w:u w:val="none"/>
        </w:rPr>
        <w:t xml:space="preserve"> the </w:t>
      </w:r>
      <w:r>
        <w:rPr>
          <w:b w:val="0"/>
          <w:i w:val="0"/>
          <w:smallCaps w:val="0"/>
          <w:strike w:val="0"/>
          <w:sz w:val="20"/>
          <w:highlight w:val="cyan"/>
          <w:u w:val="single"/>
        </w:rPr>
        <w:t>distinction</w:t>
      </w:r>
      <w:r>
        <w:rPr>
          <w:b w:val="0"/>
          <w:i w:val="0"/>
          <w:smallCaps w:val="0"/>
          <w:strike w:val="0"/>
          <w:sz w:val="20"/>
          <w:highlight w:val="cyan"/>
          <w:u w:val="single"/>
        </w:rPr>
        <w:t xml:space="preserve"> between</w:t>
      </w:r>
      <w:r>
        <w:rPr>
          <w:b w:val="0"/>
          <w:i w:val="0"/>
          <w:smallCaps w:val="0"/>
          <w:strike w:val="0"/>
          <w:sz w:val="14"/>
          <w:highlight w:val="cyan"/>
          <w:u w:val="none"/>
        </w:rPr>
        <w:t xml:space="preserve"> </w:t>
      </w:r>
      <w:r>
        <w:rPr>
          <w:b w:val="0"/>
          <w:i w:val="0"/>
          <w:smallCaps w:val="0"/>
          <w:strike w:val="0"/>
          <w:sz w:val="20"/>
          <w:highlight w:val="cyan"/>
          <w:u w:val="single"/>
        </w:rPr>
        <w:t>public</w:t>
      </w:r>
      <w:r>
        <w:rPr>
          <w:b w:val="0"/>
          <w:i w:val="0"/>
          <w:smallCaps w:val="0"/>
          <w:strike w:val="0"/>
          <w:sz w:val="20"/>
          <w:u w:val="single"/>
        </w:rPr>
        <w:t xml:space="preserve"> </w:t>
      </w:r>
      <w:r>
        <w:rPr>
          <w:b w:val="0"/>
          <w:i w:val="0"/>
          <w:smallCaps w:val="0"/>
          <w:strike w:val="0"/>
          <w:sz w:val="20"/>
          <w:highlight w:val="cyan"/>
          <w:u w:val="single"/>
        </w:rPr>
        <w:t>and</w:t>
      </w:r>
      <w:r>
        <w:rPr>
          <w:b w:val="0"/>
          <w:i w:val="0"/>
          <w:smallCaps w:val="0"/>
          <w:strike w:val="0"/>
          <w:sz w:val="20"/>
          <w:u w:val="single"/>
        </w:rPr>
        <w:t xml:space="preserve"> </w:t>
      </w:r>
      <w:r>
        <w:rPr>
          <w:b w:val="0"/>
          <w:i w:val="0"/>
          <w:smallCaps w:val="0"/>
          <w:strike w:val="0"/>
          <w:sz w:val="20"/>
          <w:highlight w:val="cyan"/>
          <w:u w:val="single"/>
        </w:rPr>
        <w:t>private rights</w:t>
      </w:r>
      <w:r>
        <w:rPr>
          <w:b w:val="0"/>
          <w:i w:val="0"/>
          <w:smallCaps w:val="0"/>
          <w:strike w:val="0"/>
          <w:sz w:val="20"/>
          <w:u w:val="single"/>
        </w:rPr>
        <w:t xml:space="preserve"> jurisprudence, '</w:t>
      </w:r>
      <w:r>
        <w:rPr>
          <w:b w:val="0"/>
          <w:i w:val="0"/>
          <w:smallCaps w:val="0"/>
          <w:strike w:val="0"/>
          <w:sz w:val="20"/>
          <w:highlight w:val="cyan"/>
          <w:u w:val="single"/>
        </w:rPr>
        <w:t>I</w:t>
      </w:r>
      <w:r>
        <w:rPr>
          <w:b w:val="0"/>
          <w:i w:val="0"/>
          <w:smallCaps w:val="0"/>
          <w:strike w:val="0"/>
          <w:sz w:val="20"/>
          <w:u w:val="single"/>
        </w:rPr>
        <w:t xml:space="preserve">nter </w:t>
      </w:r>
      <w:r>
        <w:rPr>
          <w:b w:val="0"/>
          <w:i w:val="0"/>
          <w:smallCaps w:val="0"/>
          <w:strike w:val="0"/>
          <w:sz w:val="20"/>
          <w:highlight w:val="cyan"/>
          <w:u w:val="single"/>
        </w:rPr>
        <w:t>p</w:t>
      </w:r>
      <w:r>
        <w:rPr>
          <w:b w:val="0"/>
          <w:i w:val="0"/>
          <w:smallCaps w:val="0"/>
          <w:strike w:val="0"/>
          <w:sz w:val="20"/>
          <w:u w:val="single"/>
        </w:rPr>
        <w:t xml:space="preserve">artes </w:t>
      </w:r>
      <w:r>
        <w:rPr>
          <w:b w:val="0"/>
          <w:i w:val="0"/>
          <w:smallCaps w:val="0"/>
          <w:strike w:val="0"/>
          <w:sz w:val="20"/>
          <w:highlight w:val="cyan"/>
          <w:u w:val="single"/>
        </w:rPr>
        <w:t>r</w:t>
      </w:r>
      <w:r>
        <w:rPr>
          <w:b w:val="0"/>
          <w:i w:val="0"/>
          <w:smallCaps w:val="0"/>
          <w:strike w:val="0"/>
          <w:sz w:val="20"/>
          <w:u w:val="single"/>
        </w:rPr>
        <w:t xml:space="preserve">eview </w:t>
      </w:r>
      <w:r>
        <w:rPr>
          <w:b w:val="0"/>
          <w:i w:val="0"/>
          <w:smallCaps w:val="0"/>
          <w:strike w:val="0"/>
          <w:sz w:val="20"/>
          <w:highlight w:val="cyan"/>
          <w:u w:val="single"/>
        </w:rPr>
        <w:t>falls</w:t>
      </w:r>
      <w:r>
        <w:rPr>
          <w:b w:val="0"/>
          <w:i w:val="0"/>
          <w:smallCaps w:val="0"/>
          <w:strike w:val="0"/>
          <w:sz w:val="20"/>
          <w:u w:val="single"/>
        </w:rPr>
        <w:t xml:space="preserve"> </w:t>
      </w:r>
      <w:r>
        <w:rPr>
          <w:b w:val="0"/>
          <w:i w:val="0"/>
          <w:smallCaps w:val="0"/>
          <w:strike w:val="0"/>
          <w:sz w:val="20"/>
          <w:u w:val="single"/>
        </w:rPr>
        <w:t>squarely</w:t>
      </w:r>
      <w:r>
        <w:rPr>
          <w:b w:val="0"/>
          <w:i w:val="0"/>
          <w:smallCaps w:val="0"/>
          <w:strike w:val="0"/>
          <w:sz w:val="20"/>
          <w:u w:val="single"/>
        </w:rPr>
        <w:t xml:space="preserve"> </w:t>
      </w:r>
      <w:r>
        <w:rPr>
          <w:b w:val="0"/>
          <w:i w:val="0"/>
          <w:smallCaps w:val="0"/>
          <w:strike w:val="0"/>
          <w:sz w:val="20"/>
          <w:highlight w:val="cyan"/>
          <w:u w:val="single"/>
        </w:rPr>
        <w:t xml:space="preserve">within </w:t>
      </w:r>
      <w:r>
        <w:rPr>
          <w:b w:val="0"/>
          <w:i w:val="0"/>
          <w:smallCaps w:val="0"/>
          <w:strike w:val="0"/>
          <w:sz w:val="20"/>
          <w:u w:val="single"/>
        </w:rPr>
        <w:t xml:space="preserve">the </w:t>
      </w:r>
      <w:r>
        <w:rPr>
          <w:b w:val="0"/>
          <w:i w:val="0"/>
          <w:smallCaps w:val="0"/>
          <w:strike w:val="0"/>
          <w:sz w:val="20"/>
          <w:highlight w:val="cyan"/>
          <w:u w:val="single"/>
        </w:rPr>
        <w:t>public rights</w:t>
      </w:r>
      <w:r>
        <w:rPr>
          <w:b w:val="0"/>
          <w:i w:val="0"/>
          <w:smallCaps w:val="0"/>
          <w:strike w:val="0"/>
          <w:sz w:val="20"/>
          <w:u w:val="single"/>
        </w:rPr>
        <w:t xml:space="preserve"> doctrine</w:t>
      </w:r>
      <w:r>
        <w:rPr>
          <w:b w:val="0"/>
          <w:i w:val="0"/>
          <w:smallCaps w:val="0"/>
          <w:strike w:val="0"/>
          <w:sz w:val="14"/>
          <w:u w:val="none"/>
        </w:rPr>
        <w:t xml:space="preserve">.' Citing hundred-year-old authority, the </w:t>
      </w:r>
      <w:r>
        <w:rPr>
          <w:b w:val="0"/>
          <w:i w:val="0"/>
          <w:smallCaps w:val="0"/>
          <w:strike w:val="0"/>
          <w:sz w:val="20"/>
          <w:u w:val="single"/>
        </w:rPr>
        <w:t>Court</w:t>
      </w:r>
      <w:r>
        <w:rPr>
          <w:b w:val="0"/>
          <w:i w:val="0"/>
          <w:smallCaps w:val="0"/>
          <w:strike w:val="0"/>
          <w:sz w:val="14"/>
          <w:u w:val="none"/>
        </w:rPr>
        <w:t xml:space="preserve"> first </w:t>
      </w:r>
      <w:r>
        <w:rPr>
          <w:b w:val="0"/>
          <w:i w:val="0"/>
          <w:smallCaps w:val="0"/>
          <w:strike w:val="0"/>
          <w:sz w:val="20"/>
          <w:highlight w:val="cyan"/>
          <w:u w:val="single"/>
        </w:rPr>
        <w:t>concluded</w:t>
      </w:r>
      <w:r>
        <w:rPr>
          <w:b w:val="0"/>
          <w:i w:val="0"/>
          <w:smallCaps w:val="0"/>
          <w:strike w:val="0"/>
          <w:sz w:val="14"/>
          <w:u w:val="none"/>
        </w:rPr>
        <w:t xml:space="preserve"> that </w:t>
      </w:r>
      <w:r>
        <w:rPr>
          <w:b w:val="0"/>
          <w:i w:val="0"/>
          <w:smallCaps w:val="0"/>
          <w:strike w:val="0"/>
          <w:sz w:val="20"/>
          <w:u w:val="single"/>
        </w:rPr>
        <w:t xml:space="preserve">'the </w:t>
      </w:r>
      <w:r>
        <w:rPr>
          <w:b w:val="0"/>
          <w:i w:val="0"/>
          <w:smallCaps w:val="0"/>
          <w:strike w:val="0"/>
          <w:sz w:val="20"/>
          <w:highlight w:val="cyan"/>
          <w:u w:val="single"/>
        </w:rPr>
        <w:t>grant</w:t>
      </w:r>
      <w:r>
        <w:rPr>
          <w:b w:val="0"/>
          <w:i w:val="0"/>
          <w:smallCaps w:val="0"/>
          <w:strike w:val="0"/>
          <w:sz w:val="20"/>
          <w:highlight w:val="cyan"/>
          <w:u w:val="single"/>
        </w:rPr>
        <w:t xml:space="preserve"> of a </w:t>
      </w:r>
      <w:r>
        <w:rPr>
          <w:b w:val="0"/>
          <w:i w:val="0"/>
          <w:smallCaps w:val="0"/>
          <w:strike w:val="0"/>
          <w:sz w:val="20"/>
          <w:highlight w:val="cyan"/>
          <w:u w:val="single"/>
        </w:rPr>
        <w:t>patent</w:t>
      </w:r>
      <w:r>
        <w:rPr>
          <w:b w:val="0"/>
          <w:i w:val="0"/>
          <w:smallCaps w:val="0"/>
          <w:strike w:val="0"/>
          <w:sz w:val="20"/>
          <w:highlight w:val="cyan"/>
          <w:u w:val="single"/>
        </w:rPr>
        <w:t xml:space="preserve"> is a </w:t>
      </w:r>
      <w:r>
        <w:rPr>
          <w:b w:val="0"/>
          <w:i w:val="0"/>
          <w:smallCaps w:val="0"/>
          <w:strike w:val="0"/>
          <w:sz w:val="20"/>
          <w:highlight w:val="cyan"/>
          <w:u w:val="single"/>
        </w:rPr>
        <w:t>matter</w:t>
      </w:r>
      <w:r>
        <w:rPr>
          <w:b w:val="0"/>
          <w:i w:val="0"/>
          <w:smallCaps w:val="0"/>
          <w:strike w:val="0"/>
          <w:sz w:val="20"/>
          <w:highlight w:val="cyan"/>
          <w:u w:val="single"/>
        </w:rPr>
        <w:t xml:space="preserve"> involving </w:t>
      </w:r>
      <w:r>
        <w:rPr>
          <w:b w:val="0"/>
          <w:i w:val="0"/>
          <w:smallCaps w:val="0"/>
          <w:strike w:val="0"/>
          <w:sz w:val="20"/>
          <w:highlight w:val="cyan"/>
          <w:u w:val="single"/>
        </w:rPr>
        <w:t>public rights'</w:t>
      </w:r>
      <w:r>
        <w:rPr>
          <w:b w:val="0"/>
          <w:i w:val="0"/>
          <w:smallCaps w:val="0"/>
          <w:strike w:val="0"/>
          <w:sz w:val="14"/>
          <w:u w:val="none"/>
        </w:rPr>
        <w:t xml:space="preserve"> because </w:t>
      </w:r>
      <w:r>
        <w:rPr>
          <w:b w:val="0"/>
          <w:i w:val="0"/>
          <w:smallCaps w:val="0"/>
          <w:strike w:val="0"/>
          <w:sz w:val="20"/>
          <w:highlight w:val="cyan"/>
          <w:u w:val="single"/>
        </w:rPr>
        <w:t xml:space="preserve">it is a </w:t>
      </w:r>
      <w:r>
        <w:rPr>
          <w:b w:val="0"/>
          <w:i w:val="0"/>
          <w:smallCaps w:val="0"/>
          <w:strike w:val="0"/>
          <w:sz w:val="20"/>
          <w:highlight w:val="cyan"/>
          <w:u w:val="single"/>
        </w:rPr>
        <w:t>public</w:t>
      </w:r>
      <w:r>
        <w:rPr>
          <w:b w:val="0"/>
          <w:i w:val="0"/>
          <w:smallCaps w:val="0"/>
          <w:strike w:val="0"/>
          <w:sz w:val="20"/>
          <w:u w:val="single"/>
        </w:rPr>
        <w:t xml:space="preserve"> </w:t>
      </w:r>
      <w:r>
        <w:rPr>
          <w:b w:val="0"/>
          <w:i w:val="0"/>
          <w:smallCaps w:val="0"/>
          <w:strike w:val="0"/>
          <w:sz w:val="20"/>
          <w:highlight w:val="cyan"/>
          <w:u w:val="single"/>
        </w:rPr>
        <w:t>franchise</w:t>
      </w:r>
      <w:r>
        <w:rPr>
          <w:b w:val="0"/>
          <w:i w:val="0"/>
          <w:smallCaps w:val="0"/>
          <w:strike w:val="0"/>
          <w:sz w:val="20"/>
          <w:u w:val="single"/>
        </w:rPr>
        <w:t xml:space="preserve"> that is </w:t>
      </w:r>
      <w:r>
        <w:rPr>
          <w:b w:val="0"/>
          <w:i w:val="0"/>
          <w:smallCaps w:val="0"/>
          <w:strike w:val="0"/>
          <w:sz w:val="20"/>
          <w:highlight w:val="cyan"/>
          <w:u w:val="single"/>
        </w:rPr>
        <w:t>given to the patentee by the government on behalf of the public</w:t>
      </w:r>
      <w:r>
        <w:rPr>
          <w:b w:val="0"/>
          <w:i w:val="0"/>
          <w:smallCaps w:val="0"/>
          <w:strike w:val="0"/>
          <w:sz w:val="20"/>
          <w:u w:val="single"/>
        </w:rPr>
        <w:t>. The Court then determined that 'Inter partes</w:t>
      </w:r>
      <w:r>
        <w:rPr>
          <w:b w:val="0"/>
          <w:i w:val="0"/>
          <w:smallCaps w:val="0"/>
          <w:strike w:val="0"/>
          <w:sz w:val="20"/>
          <w:u w:val="single"/>
        </w:rPr>
        <w:t xml:space="preserve"> review</w:t>
      </w:r>
      <w:r>
        <w:rPr>
          <w:b w:val="0"/>
          <w:i w:val="0"/>
          <w:smallCaps w:val="0"/>
          <w:strike w:val="0"/>
          <w:sz w:val="14"/>
          <w:u w:val="none"/>
        </w:rPr>
        <w:t xml:space="preserve"> </w:t>
      </w:r>
      <w:r>
        <w:rPr>
          <w:b w:val="0"/>
          <w:i w:val="0"/>
          <w:smallCaps w:val="0"/>
          <w:strike w:val="0"/>
          <w:sz w:val="20"/>
          <w:highlight w:val="cyan"/>
          <w:u w:val="single"/>
        </w:rPr>
        <w:t>involves</w:t>
      </w:r>
      <w:r>
        <w:rPr>
          <w:b w:val="0"/>
          <w:i w:val="0"/>
          <w:smallCaps w:val="0"/>
          <w:strike w:val="0"/>
          <w:sz w:val="14"/>
          <w:u w:val="none"/>
        </w:rPr>
        <w:t xml:space="preserve"> the </w:t>
      </w:r>
      <w:r>
        <w:rPr>
          <w:b w:val="0"/>
          <w:i w:val="0"/>
          <w:smallCaps w:val="0"/>
          <w:strike w:val="0"/>
          <w:sz w:val="20"/>
          <w:highlight w:val="cyan"/>
          <w:u w:val="single"/>
        </w:rPr>
        <w:t xml:space="preserve">same basic matter as </w:t>
      </w:r>
      <w:r>
        <w:rPr>
          <w:b w:val="0"/>
          <w:i w:val="0"/>
          <w:smallCaps w:val="0"/>
          <w:strike w:val="0"/>
          <w:sz w:val="20"/>
          <w:u w:val="single"/>
        </w:rPr>
        <w:t xml:space="preserve">the </w:t>
      </w:r>
      <w:r>
        <w:rPr>
          <w:b w:val="0"/>
          <w:i w:val="0"/>
          <w:smallCaps w:val="0"/>
          <w:strike w:val="0"/>
          <w:sz w:val="20"/>
          <w:highlight w:val="cyan"/>
          <w:u w:val="single"/>
        </w:rPr>
        <w:t>grant</w:t>
      </w:r>
      <w:r>
        <w:rPr>
          <w:b w:val="0"/>
          <w:i w:val="0"/>
          <w:smallCaps w:val="0"/>
          <w:strike w:val="0"/>
          <w:sz w:val="20"/>
          <w:u w:val="single"/>
        </w:rPr>
        <w:t xml:space="preserve"> </w:t>
      </w:r>
      <w:r>
        <w:rPr>
          <w:b w:val="0"/>
          <w:i w:val="0"/>
          <w:smallCaps w:val="0"/>
          <w:strike w:val="0"/>
          <w:sz w:val="20"/>
          <w:highlight w:val="cyan"/>
          <w:u w:val="single"/>
        </w:rPr>
        <w:t>of a patent</w:t>
      </w:r>
      <w:r>
        <w:rPr>
          <w:b w:val="0"/>
          <w:i w:val="0"/>
          <w:smallCaps w:val="0"/>
          <w:strike w:val="0"/>
          <w:sz w:val="14"/>
          <w:u w:val="none"/>
        </w:rPr>
        <w:t xml:space="preserve">. So it, too, </w:t>
      </w:r>
      <w:r>
        <w:rPr>
          <w:b w:val="0"/>
          <w:i w:val="0"/>
          <w:smallCaps w:val="0"/>
          <w:strike w:val="0"/>
          <w:sz w:val="20"/>
          <w:u w:val="single"/>
        </w:rPr>
        <w:t>falls on the public</w:t>
      </w:r>
      <w:r>
        <w:rPr>
          <w:b w:val="0"/>
          <w:i w:val="0"/>
          <w:smallCaps w:val="0"/>
          <w:strike w:val="0"/>
          <w:sz w:val="14"/>
          <w:u w:val="none"/>
        </w:rPr>
        <w:t>-</w:t>
      </w:r>
      <w:r>
        <w:rPr>
          <w:b w:val="0"/>
          <w:i w:val="0"/>
          <w:smallCaps w:val="0"/>
          <w:strike w:val="0"/>
          <w:sz w:val="20"/>
          <w:u w:val="single"/>
        </w:rPr>
        <w:t>rights side of the line</w:t>
      </w:r>
      <w:r>
        <w:rPr>
          <w:b w:val="0"/>
          <w:i w:val="0"/>
          <w:smallCaps w:val="0"/>
          <w:strike w:val="0"/>
          <w:sz w:val="14"/>
          <w:u w:val="none"/>
        </w:rPr>
        <w:t xml:space="preserve">.' The fact that an </w:t>
      </w:r>
      <w:r>
        <w:rPr>
          <w:b w:val="0"/>
          <w:i w:val="0"/>
          <w:smallCaps w:val="0"/>
          <w:strike w:val="0"/>
          <w:sz w:val="20"/>
          <w:u w:val="single"/>
        </w:rPr>
        <w:t>IPR takes place after the patent has been granted</w:t>
      </w:r>
      <w:r>
        <w:rPr>
          <w:b w:val="0"/>
          <w:i w:val="0"/>
          <w:smallCaps w:val="0"/>
          <w:strike w:val="0"/>
          <w:sz w:val="14"/>
          <w:u w:val="none"/>
        </w:rPr>
        <w:t xml:space="preserve"> </w:t>
      </w:r>
      <w:r>
        <w:rPr>
          <w:b w:val="0"/>
          <w:i w:val="0"/>
          <w:smallCaps w:val="0"/>
          <w:strike w:val="0"/>
          <w:sz w:val="20"/>
          <w:u w:val="single"/>
        </w:rPr>
        <w:t>is a 'distinction that does not make a difference here.</w:t>
      </w:r>
      <w:r>
        <w:rPr>
          <w:b w:val="0"/>
          <w:i w:val="0"/>
          <w:smallCaps w:val="0"/>
          <w:strike w:val="0"/>
          <w:sz w:val="14"/>
          <w:u w:val="none"/>
        </w:rPr>
        <w:t xml:space="preserve">' That is because </w:t>
      </w:r>
      <w:r>
        <w:rPr>
          <w:b w:val="0"/>
          <w:i w:val="0"/>
          <w:smallCaps w:val="0"/>
          <w:strike w:val="0"/>
          <w:sz w:val="20"/>
          <w:highlight w:val="cyan"/>
          <w:u w:val="single"/>
        </w:rPr>
        <w:t>'Patent claims</w:t>
      </w:r>
      <w:r>
        <w:rPr>
          <w:b w:val="0"/>
          <w:i w:val="0"/>
          <w:smallCaps w:val="0"/>
          <w:strike w:val="0"/>
          <w:sz w:val="14"/>
          <w:u w:val="none"/>
        </w:rPr>
        <w:t xml:space="preserve"> are </w:t>
      </w:r>
      <w:r>
        <w:rPr>
          <w:b w:val="0"/>
          <w:i w:val="0"/>
          <w:smallCaps w:val="0"/>
          <w:strike w:val="0"/>
          <w:sz w:val="20"/>
          <w:highlight w:val="cyan"/>
          <w:u w:val="single"/>
        </w:rPr>
        <w:t>granted</w:t>
      </w:r>
      <w:r>
        <w:rPr>
          <w:b w:val="0"/>
          <w:i w:val="0"/>
          <w:smallCaps w:val="0"/>
          <w:strike w:val="0"/>
          <w:sz w:val="20"/>
          <w:u w:val="single"/>
        </w:rPr>
        <w:t xml:space="preserve"> </w:t>
      </w:r>
      <w:r>
        <w:rPr>
          <w:b w:val="0"/>
          <w:i w:val="0"/>
          <w:smallCaps w:val="0"/>
          <w:strike w:val="0"/>
          <w:sz w:val="20"/>
          <w:highlight w:val="cyan"/>
          <w:u w:val="single"/>
        </w:rPr>
        <w:t>subject</w:t>
      </w:r>
      <w:r>
        <w:rPr>
          <w:b w:val="0"/>
          <w:i w:val="0"/>
          <w:smallCaps w:val="0"/>
          <w:strike w:val="0"/>
          <w:sz w:val="20"/>
          <w:highlight w:val="cyan"/>
          <w:u w:val="single"/>
        </w:rPr>
        <w:t xml:space="preserve"> to</w:t>
      </w:r>
      <w:r>
        <w:rPr>
          <w:b w:val="0"/>
          <w:i w:val="0"/>
          <w:smallCaps w:val="0"/>
          <w:strike w:val="0"/>
          <w:sz w:val="14"/>
          <w:u w:val="none"/>
        </w:rPr>
        <w:t xml:space="preserve"> the </w:t>
      </w:r>
      <w:r>
        <w:rPr>
          <w:b w:val="0"/>
          <w:i w:val="0"/>
          <w:smallCaps w:val="0"/>
          <w:strike w:val="0"/>
          <w:sz w:val="20"/>
          <w:highlight w:val="cyan"/>
          <w:u w:val="single"/>
        </w:rPr>
        <w:t>qualification</w:t>
      </w:r>
      <w:r>
        <w:rPr>
          <w:b w:val="0"/>
          <w:i w:val="0"/>
          <w:smallCaps w:val="0"/>
          <w:strike w:val="0"/>
          <w:sz w:val="14"/>
          <w:u w:val="none"/>
        </w:rPr>
        <w:t xml:space="preserve"> </w:t>
      </w:r>
      <w:r>
        <w:rPr>
          <w:b w:val="0"/>
          <w:i w:val="0"/>
          <w:smallCaps w:val="0"/>
          <w:strike w:val="0"/>
          <w:sz w:val="20"/>
          <w:highlight w:val="cyan"/>
          <w:u w:val="single"/>
        </w:rPr>
        <w:t xml:space="preserve">that the </w:t>
      </w:r>
      <w:r>
        <w:rPr>
          <w:b w:val="0"/>
          <w:i w:val="0"/>
          <w:smallCaps w:val="0"/>
          <w:strike w:val="0"/>
          <w:sz w:val="20"/>
          <w:highlight w:val="cyan"/>
          <w:u w:val="single"/>
        </w:rPr>
        <w:t>PTO</w:t>
      </w:r>
      <w:r>
        <w:rPr>
          <w:b w:val="0"/>
          <w:i w:val="0"/>
          <w:smallCaps w:val="0"/>
          <w:strike w:val="0"/>
          <w:sz w:val="20"/>
          <w:highlight w:val="cyan"/>
          <w:u w:val="single"/>
        </w:rPr>
        <w:t xml:space="preserve"> has the </w:t>
      </w:r>
      <w:r>
        <w:rPr>
          <w:b w:val="0"/>
          <w:i w:val="0"/>
          <w:smallCaps w:val="0"/>
          <w:strike w:val="0"/>
          <w:sz w:val="20"/>
          <w:highlight w:val="cyan"/>
          <w:u w:val="single"/>
        </w:rPr>
        <w:t>authority</w:t>
      </w:r>
      <w:r>
        <w:rPr>
          <w:b w:val="0"/>
          <w:i w:val="0"/>
          <w:smallCaps w:val="0"/>
          <w:strike w:val="0"/>
          <w:sz w:val="20"/>
          <w:highlight w:val="cyan"/>
          <w:u w:val="single"/>
        </w:rPr>
        <w:t xml:space="preserve"> to examine</w:t>
      </w:r>
      <w:r>
        <w:rPr>
          <w:b w:val="0"/>
          <w:i w:val="0"/>
          <w:smallCaps w:val="0"/>
          <w:strike w:val="0"/>
          <w:sz w:val="14"/>
          <w:u w:val="none"/>
        </w:rPr>
        <w:t>—and perhaps cancel—</w:t>
      </w:r>
      <w:r>
        <w:rPr>
          <w:b w:val="0"/>
          <w:i w:val="0"/>
          <w:smallCaps w:val="0"/>
          <w:strike w:val="0"/>
          <w:sz w:val="20"/>
          <w:u w:val="single"/>
        </w:rPr>
        <w:t xml:space="preserve">a patent </w:t>
      </w:r>
      <w:r>
        <w:rPr>
          <w:b w:val="0"/>
          <w:i w:val="0"/>
          <w:smallCaps w:val="0"/>
          <w:strike w:val="0"/>
          <w:sz w:val="20"/>
          <w:u w:val="single"/>
        </w:rPr>
        <w:t>claim</w:t>
      </w:r>
      <w:r>
        <w:rPr>
          <w:b w:val="0"/>
          <w:i w:val="0"/>
          <w:smallCaps w:val="0"/>
          <w:strike w:val="0"/>
          <w:sz w:val="20"/>
          <w:u w:val="single"/>
        </w:rPr>
        <w:t xml:space="preserve"> in</w:t>
      </w:r>
      <w:r>
        <w:rPr>
          <w:b w:val="0"/>
          <w:i w:val="0"/>
          <w:smallCaps w:val="0"/>
          <w:strike w:val="0"/>
          <w:sz w:val="14"/>
          <w:u w:val="none"/>
        </w:rPr>
        <w:t xml:space="preserve"> an </w:t>
      </w:r>
      <w:r>
        <w:rPr>
          <w:b w:val="0"/>
          <w:i w:val="0"/>
          <w:smallCaps w:val="0"/>
          <w:strike w:val="0"/>
          <w:sz w:val="20"/>
          <w:u w:val="single"/>
        </w:rPr>
        <w:t>inter partes review.</w:t>
      </w:r>
      <w:r>
        <w:rPr>
          <w:b w:val="0"/>
          <w:i w:val="0"/>
          <w:smallCaps w:val="0"/>
          <w:strike w:val="0"/>
          <w:sz w:val="14"/>
          <w:u w:val="none"/>
        </w:rPr>
        <w:t xml:space="preserve">' The Court distinguished </w:t>
      </w:r>
      <w:r>
        <w:rPr>
          <w:b w:val="0"/>
          <w:i w:val="0"/>
          <w:smallCaps w:val="0"/>
          <w:strike w:val="0"/>
          <w:sz w:val="20"/>
          <w:highlight w:val="cyan"/>
          <w:u w:val="single"/>
        </w:rPr>
        <w:t xml:space="preserve">three </w:t>
      </w:r>
      <w:r>
        <w:rPr>
          <w:b w:val="0"/>
          <w:i w:val="0"/>
          <w:smallCaps w:val="0"/>
          <w:strike w:val="0"/>
          <w:sz w:val="20"/>
          <w:highlight w:val="cyan"/>
          <w:u w:val="single"/>
        </w:rPr>
        <w:t>cases</w:t>
      </w:r>
      <w:r>
        <w:rPr>
          <w:b w:val="0"/>
          <w:i w:val="0"/>
          <w:smallCaps w:val="0"/>
          <w:strike w:val="0"/>
          <w:sz w:val="14"/>
          <w:u w:val="none"/>
        </w:rPr>
        <w:t xml:space="preserve"> relied on </w:t>
      </w:r>
      <w:r>
        <w:rPr>
          <w:b w:val="0"/>
          <w:i w:val="0"/>
          <w:smallCaps w:val="0"/>
          <w:strike w:val="0"/>
          <w:sz w:val="20"/>
          <w:u w:val="single"/>
        </w:rPr>
        <w:t>by the patent owner</w:t>
      </w:r>
      <w:r>
        <w:rPr>
          <w:b w:val="0"/>
          <w:i w:val="0"/>
          <w:smallCaps w:val="0"/>
          <w:strike w:val="0"/>
          <w:sz w:val="14"/>
          <w:u w:val="none"/>
        </w:rPr>
        <w:t xml:space="preserve"> </w:t>
      </w:r>
      <w:r>
        <w:rPr>
          <w:b w:val="0"/>
          <w:i w:val="0"/>
          <w:smallCaps w:val="0"/>
          <w:strike w:val="0"/>
          <w:sz w:val="20"/>
          <w:highlight w:val="cyan"/>
          <w:u w:val="single"/>
        </w:rPr>
        <w:t>suggesting</w:t>
      </w:r>
      <w:r>
        <w:rPr>
          <w:b w:val="0"/>
          <w:i w:val="0"/>
          <w:smallCaps w:val="0"/>
          <w:strike w:val="0"/>
          <w:sz w:val="20"/>
          <w:highlight w:val="cyan"/>
          <w:u w:val="single"/>
        </w:rPr>
        <w:t xml:space="preserve"> that</w:t>
      </w:r>
      <w:r>
        <w:rPr>
          <w:b w:val="0"/>
          <w:i w:val="0"/>
          <w:smallCaps w:val="0"/>
          <w:strike w:val="0"/>
          <w:sz w:val="20"/>
          <w:u w:val="single"/>
        </w:rPr>
        <w:t xml:space="preserve"> </w:t>
      </w:r>
      <w:r>
        <w:rPr>
          <w:b w:val="0"/>
          <w:i w:val="0"/>
          <w:smallCaps w:val="0"/>
          <w:strike w:val="0"/>
          <w:sz w:val="20"/>
          <w:highlight w:val="cyan"/>
          <w:u w:val="single"/>
        </w:rPr>
        <w:t>patents are private property</w:t>
      </w:r>
      <w:r>
        <w:rPr>
          <w:b w:val="0"/>
          <w:i w:val="0"/>
          <w:smallCaps w:val="0"/>
          <w:strike w:val="0"/>
          <w:sz w:val="14"/>
          <w:highlight w:val="cyan"/>
          <w:u w:val="none"/>
        </w:rPr>
        <w:t>.</w:t>
      </w:r>
      <w:r>
        <w:rPr>
          <w:b w:val="0"/>
          <w:i w:val="0"/>
          <w:smallCaps w:val="0"/>
          <w:strike w:val="0"/>
          <w:sz w:val="14"/>
          <w:u w:val="none"/>
        </w:rPr>
        <w:t xml:space="preserve"> Responding to a </w:t>
      </w:r>
      <w:r>
        <w:rPr>
          <w:b w:val="0"/>
          <w:i w:val="0"/>
          <w:smallCaps w:val="0"/>
          <w:strike w:val="0"/>
          <w:sz w:val="20"/>
          <w:u w:val="single"/>
        </w:rPr>
        <w:t>case</w:t>
      </w:r>
      <w:r>
        <w:rPr>
          <w:b w:val="0"/>
          <w:i w:val="0"/>
          <w:smallCaps w:val="0"/>
          <w:strike w:val="0"/>
          <w:sz w:val="14"/>
          <w:u w:val="none"/>
        </w:rPr>
        <w:t xml:space="preserve"> </w:t>
      </w:r>
      <w:r>
        <w:rPr>
          <w:b w:val="0"/>
          <w:i w:val="0"/>
          <w:smallCaps w:val="0"/>
          <w:strike w:val="0"/>
          <w:sz w:val="20"/>
          <w:u w:val="single"/>
        </w:rPr>
        <w:t xml:space="preserve">suggesting that patent </w:t>
      </w:r>
      <w:r>
        <w:rPr>
          <w:b w:val="0"/>
          <w:i w:val="0"/>
          <w:smallCaps w:val="0"/>
          <w:strike w:val="0"/>
          <w:sz w:val="20"/>
          <w:u w:val="single"/>
        </w:rPr>
        <w:t>rights</w:t>
      </w:r>
      <w:r>
        <w:rPr>
          <w:b w:val="0"/>
          <w:i w:val="0"/>
          <w:smallCaps w:val="0"/>
          <w:strike w:val="0"/>
          <w:sz w:val="20"/>
          <w:u w:val="single"/>
        </w:rPr>
        <w:t xml:space="preserve"> are </w:t>
      </w:r>
      <w:r>
        <w:rPr>
          <w:b w:val="0"/>
          <w:i w:val="0"/>
          <w:smallCaps w:val="0"/>
          <w:strike w:val="0"/>
          <w:sz w:val="20"/>
          <w:u w:val="single"/>
        </w:rPr>
        <w:t>'private property</w:t>
      </w:r>
      <w:r>
        <w:rPr>
          <w:b w:val="0"/>
          <w:i w:val="0"/>
          <w:smallCaps w:val="0"/>
          <w:strike w:val="0"/>
          <w:sz w:val="20"/>
          <w:u w:val="single"/>
        </w:rPr>
        <w:t xml:space="preserve"> of the patentee</w:t>
      </w:r>
      <w:r>
        <w:rPr>
          <w:b w:val="0"/>
          <w:i w:val="0"/>
          <w:smallCaps w:val="0"/>
          <w:strike w:val="0"/>
          <w:sz w:val="14"/>
          <w:u w:val="none"/>
        </w:rPr>
        <w:t xml:space="preserve">,' </w:t>
      </w:r>
      <w:r>
        <w:rPr>
          <w:b w:val="0"/>
          <w:i w:val="0"/>
          <w:smallCaps w:val="0"/>
          <w:strike w:val="0"/>
          <w:sz w:val="20"/>
          <w:u w:val="single"/>
        </w:rPr>
        <w:t xml:space="preserve">the </w:t>
      </w:r>
      <w:r>
        <w:rPr>
          <w:b w:val="0"/>
          <w:i w:val="0"/>
          <w:smallCaps w:val="0"/>
          <w:strike w:val="0"/>
          <w:sz w:val="20"/>
          <w:highlight w:val="cyan"/>
          <w:u w:val="single"/>
        </w:rPr>
        <w:t>Court held</w:t>
      </w:r>
      <w:r>
        <w:rPr>
          <w:b w:val="0"/>
          <w:i w:val="0"/>
          <w:smallCaps w:val="0"/>
          <w:strike w:val="0"/>
          <w:sz w:val="14"/>
          <w:u w:val="none"/>
        </w:rPr>
        <w:t xml:space="preserve"> that </w:t>
      </w:r>
      <w:r>
        <w:rPr>
          <w:b w:val="0"/>
          <w:i w:val="0"/>
          <w:smallCaps w:val="0"/>
          <w:strike w:val="0"/>
          <w:sz w:val="20"/>
          <w:highlight w:val="cyan"/>
          <w:u w:val="single"/>
        </w:rPr>
        <w:t xml:space="preserve">patent property is a public </w:t>
      </w:r>
      <w:r>
        <w:rPr>
          <w:b w:val="0"/>
          <w:i w:val="0"/>
          <w:smallCaps w:val="0"/>
          <w:strike w:val="0"/>
          <w:sz w:val="20"/>
          <w:highlight w:val="cyan"/>
          <w:u w:val="single"/>
        </w:rPr>
        <w:t>franchise</w:t>
      </w:r>
      <w:r>
        <w:rPr>
          <w:b w:val="0"/>
          <w:i w:val="0"/>
          <w:smallCaps w:val="0"/>
          <w:strike w:val="0"/>
          <w:sz w:val="20"/>
          <w:u w:val="single"/>
        </w:rPr>
        <w:t>,</w:t>
      </w:r>
      <w:r>
        <w:rPr>
          <w:b w:val="0"/>
          <w:i w:val="0"/>
          <w:smallCaps w:val="0"/>
          <w:strike w:val="0"/>
          <w:sz w:val="14"/>
          <w:u w:val="none"/>
        </w:rPr>
        <w:t xml:space="preserve"> which is </w:t>
      </w:r>
      <w:r>
        <w:rPr>
          <w:b w:val="0"/>
          <w:i w:val="0"/>
          <w:smallCaps w:val="0"/>
          <w:strike w:val="0"/>
          <w:sz w:val="20"/>
          <w:highlight w:val="cyan"/>
          <w:u w:val="single"/>
        </w:rPr>
        <w:t>entitled to all of the</w:t>
      </w:r>
      <w:r>
        <w:rPr>
          <w:b w:val="0"/>
          <w:i w:val="0"/>
          <w:smallCaps w:val="0"/>
          <w:strike w:val="0"/>
          <w:sz w:val="14"/>
          <w:highlight w:val="cyan"/>
          <w:u w:val="none"/>
        </w:rPr>
        <w:t xml:space="preserve"> </w:t>
      </w:r>
      <w:r>
        <w:rPr>
          <w:b w:val="0"/>
          <w:i w:val="0"/>
          <w:smallCaps w:val="0"/>
          <w:strike w:val="0"/>
          <w:sz w:val="20"/>
          <w:highlight w:val="cyan"/>
          <w:u w:val="single"/>
        </w:rPr>
        <w:t>rights</w:t>
      </w:r>
      <w:r>
        <w:rPr>
          <w:b w:val="0"/>
          <w:i w:val="0"/>
          <w:smallCaps w:val="0"/>
          <w:strike w:val="0"/>
          <w:sz w:val="14"/>
          <w:highlight w:val="cyan"/>
          <w:u w:val="none"/>
        </w:rPr>
        <w:t xml:space="preserve"> </w:t>
      </w:r>
      <w:r>
        <w:rPr>
          <w:b w:val="0"/>
          <w:i w:val="0"/>
          <w:smallCaps w:val="0"/>
          <w:strike w:val="0"/>
          <w:sz w:val="20"/>
          <w:highlight w:val="cyan"/>
          <w:u w:val="single"/>
        </w:rPr>
        <w:t xml:space="preserve">and </w:t>
      </w:r>
      <w:r>
        <w:rPr>
          <w:b w:val="0"/>
          <w:i w:val="0"/>
          <w:smallCaps w:val="0"/>
          <w:strike w:val="0"/>
          <w:sz w:val="20"/>
          <w:highlight w:val="cyan"/>
          <w:u w:val="single"/>
        </w:rPr>
        <w:t>statutory</w:t>
      </w:r>
      <w:r>
        <w:rPr>
          <w:b w:val="0"/>
          <w:i w:val="0"/>
          <w:smallCaps w:val="0"/>
          <w:strike w:val="0"/>
          <w:sz w:val="20"/>
          <w:u w:val="single"/>
        </w:rPr>
        <w:t xml:space="preserve"> </w:t>
      </w:r>
      <w:r>
        <w:rPr>
          <w:b w:val="0"/>
          <w:i w:val="0"/>
          <w:smallCaps w:val="0"/>
          <w:strike w:val="0"/>
          <w:sz w:val="20"/>
          <w:highlight w:val="cyan"/>
          <w:u w:val="single"/>
        </w:rPr>
        <w:t>conditions</w:t>
      </w:r>
      <w:r>
        <w:rPr>
          <w:b w:val="0"/>
          <w:i w:val="0"/>
          <w:smallCaps w:val="0"/>
          <w:strike w:val="0"/>
          <w:sz w:val="14"/>
          <w:u w:val="none"/>
        </w:rPr>
        <w:t xml:space="preserve"> </w:t>
      </w:r>
      <w:r>
        <w:rPr>
          <w:b w:val="0"/>
          <w:i w:val="0"/>
          <w:smallCaps w:val="0"/>
          <w:strike w:val="0"/>
          <w:sz w:val="20"/>
          <w:u w:val="single"/>
        </w:rPr>
        <w:t>of</w:t>
      </w:r>
      <w:r>
        <w:rPr>
          <w:b w:val="0"/>
          <w:i w:val="0"/>
          <w:smallCaps w:val="0"/>
          <w:strike w:val="0"/>
          <w:sz w:val="14"/>
          <w:u w:val="none"/>
        </w:rPr>
        <w:t xml:space="preserve"> the </w:t>
      </w:r>
      <w:r>
        <w:rPr>
          <w:b w:val="0"/>
          <w:i w:val="0"/>
          <w:smallCaps w:val="0"/>
          <w:strike w:val="0"/>
          <w:sz w:val="20"/>
          <w:u w:val="single"/>
        </w:rPr>
        <w:t>grant of a public franchise.</w:t>
      </w:r>
      <w:r>
        <w:rPr>
          <w:b w:val="0"/>
          <w:i w:val="0"/>
          <w:smallCaps w:val="0"/>
          <w:strike w:val="0"/>
          <w:sz w:val="14"/>
          <w:u w:val="none"/>
        </w:rPr>
        <w:t xml:space="preserve"> The </w:t>
      </w:r>
      <w:r>
        <w:rPr>
          <w:b w:val="0"/>
          <w:i w:val="0"/>
          <w:smallCaps w:val="0"/>
          <w:strike w:val="0"/>
          <w:sz w:val="20"/>
          <w:u w:val="single"/>
        </w:rPr>
        <w:t>Court</w:t>
      </w:r>
      <w:r>
        <w:rPr>
          <w:b w:val="0"/>
          <w:i w:val="0"/>
          <w:smallCaps w:val="0"/>
          <w:strike w:val="0"/>
          <w:sz w:val="14"/>
          <w:u w:val="none"/>
        </w:rPr>
        <w:t xml:space="preserve"> also </w:t>
      </w:r>
      <w:r>
        <w:rPr>
          <w:b w:val="0"/>
          <w:i w:val="0"/>
          <w:smallCaps w:val="0"/>
          <w:strike w:val="0"/>
          <w:sz w:val="20"/>
          <w:highlight w:val="cyan"/>
          <w:u w:val="single"/>
        </w:rPr>
        <w:t>concluded</w:t>
      </w:r>
      <w:r>
        <w:rPr>
          <w:b w:val="0"/>
          <w:i w:val="0"/>
          <w:smallCaps w:val="0"/>
          <w:strike w:val="0"/>
          <w:sz w:val="14"/>
          <w:u w:val="none"/>
        </w:rPr>
        <w:t xml:space="preserve"> that the </w:t>
      </w:r>
      <w:r>
        <w:rPr>
          <w:b w:val="0"/>
          <w:i w:val="0"/>
          <w:smallCaps w:val="0"/>
          <w:strike w:val="0"/>
          <w:sz w:val="20"/>
          <w:u w:val="single"/>
        </w:rPr>
        <w:t>fact</w:t>
      </w:r>
      <w:r>
        <w:rPr>
          <w:b w:val="0"/>
          <w:i w:val="0"/>
          <w:smallCaps w:val="0"/>
          <w:strike w:val="0"/>
          <w:sz w:val="20"/>
          <w:u w:val="single"/>
        </w:rPr>
        <w:t xml:space="preserve"> that the </w:t>
      </w:r>
      <w:r>
        <w:rPr>
          <w:b w:val="0"/>
          <w:i w:val="0"/>
          <w:smallCaps w:val="0"/>
          <w:strike w:val="0"/>
          <w:sz w:val="20"/>
          <w:highlight w:val="cyan"/>
          <w:u w:val="single"/>
        </w:rPr>
        <w:t xml:space="preserve">PTAB uses </w:t>
      </w:r>
      <w:r>
        <w:rPr>
          <w:b w:val="0"/>
          <w:i w:val="0"/>
          <w:smallCaps w:val="0"/>
          <w:strike w:val="0"/>
          <w:sz w:val="20"/>
          <w:highlight w:val="cyan"/>
          <w:u w:val="single"/>
        </w:rPr>
        <w:t>terms</w:t>
      </w:r>
      <w:r>
        <w:rPr>
          <w:b w:val="0"/>
          <w:i w:val="0"/>
          <w:smallCaps w:val="0"/>
          <w:strike w:val="0"/>
          <w:sz w:val="20"/>
          <w:highlight w:val="cyan"/>
          <w:u w:val="single"/>
        </w:rPr>
        <w:t xml:space="preserve"> of the </w:t>
      </w:r>
      <w:r>
        <w:rPr>
          <w:b w:val="0"/>
          <w:i w:val="0"/>
          <w:smallCaps w:val="0"/>
          <w:strike w:val="0"/>
          <w:sz w:val="20"/>
          <w:highlight w:val="cyan"/>
          <w:u w:val="single"/>
        </w:rPr>
        <w:t>judiciary</w:t>
      </w:r>
      <w:r>
        <w:rPr>
          <w:b w:val="0"/>
          <w:i w:val="0"/>
          <w:smallCaps w:val="0"/>
          <w:strike w:val="0"/>
          <w:sz w:val="14"/>
          <w:u w:val="none"/>
        </w:rPr>
        <w:t xml:space="preserve">, such as 'trial,' 'judges,' and 'judgment' </w:t>
      </w:r>
      <w:r>
        <w:rPr>
          <w:b w:val="0"/>
          <w:i w:val="0"/>
          <w:smallCaps w:val="0"/>
          <w:strike w:val="0"/>
          <w:sz w:val="20"/>
          <w:u w:val="single"/>
        </w:rPr>
        <w:t xml:space="preserve">is </w:t>
      </w:r>
      <w:r>
        <w:rPr>
          <w:b w:val="0"/>
          <w:i w:val="0"/>
          <w:smallCaps w:val="0"/>
          <w:strike w:val="0"/>
          <w:sz w:val="20"/>
          <w:highlight w:val="cyan"/>
          <w:u w:val="single"/>
        </w:rPr>
        <w:t>not dispositive of</w:t>
      </w:r>
      <w:r>
        <w:rPr>
          <w:b w:val="0"/>
          <w:i w:val="0"/>
          <w:smallCaps w:val="0"/>
          <w:strike w:val="0"/>
          <w:sz w:val="20"/>
          <w:u w:val="single"/>
        </w:rPr>
        <w:t xml:space="preserve"> </w:t>
      </w:r>
      <w:r>
        <w:rPr>
          <w:b w:val="0"/>
          <w:i w:val="0"/>
          <w:smallCaps w:val="0"/>
          <w:strike w:val="0"/>
          <w:sz w:val="20"/>
          <w:highlight w:val="cyan"/>
          <w:u w:val="single"/>
        </w:rPr>
        <w:t>whether</w:t>
      </w:r>
      <w:r>
        <w:rPr>
          <w:b w:val="0"/>
          <w:i w:val="0"/>
          <w:smallCaps w:val="0"/>
          <w:strike w:val="0"/>
          <w:sz w:val="20"/>
          <w:u w:val="single"/>
        </w:rPr>
        <w:t xml:space="preserve"> the </w:t>
      </w:r>
      <w:r>
        <w:rPr>
          <w:b w:val="0"/>
          <w:i w:val="0"/>
          <w:smallCaps w:val="0"/>
          <w:strike w:val="0"/>
          <w:sz w:val="20"/>
          <w:highlight w:val="cyan"/>
          <w:u w:val="single"/>
        </w:rPr>
        <w:t>agency</w:t>
      </w:r>
      <w:r>
        <w:rPr>
          <w:b w:val="0"/>
          <w:i w:val="0"/>
          <w:smallCaps w:val="0"/>
          <w:strike w:val="0"/>
          <w:sz w:val="20"/>
          <w:highlight w:val="cyan"/>
          <w:u w:val="single"/>
        </w:rPr>
        <w:t xml:space="preserve"> is </w:t>
      </w:r>
      <w:r>
        <w:rPr>
          <w:b w:val="0"/>
          <w:i w:val="0"/>
          <w:smallCaps w:val="0"/>
          <w:strike w:val="0"/>
          <w:sz w:val="20"/>
          <w:highlight w:val="cyan"/>
          <w:u w:val="single"/>
        </w:rPr>
        <w:t>exercising</w:t>
      </w:r>
      <w:r>
        <w:rPr>
          <w:b w:val="0"/>
          <w:i w:val="0"/>
          <w:smallCaps w:val="0"/>
          <w:strike w:val="0"/>
          <w:sz w:val="20"/>
          <w:highlight w:val="cyan"/>
          <w:u w:val="single"/>
        </w:rPr>
        <w:t xml:space="preserve"> judicial power</w:t>
      </w:r>
      <w:r>
        <w:rPr>
          <w:b w:val="0"/>
          <w:i w:val="0"/>
          <w:smallCaps w:val="0"/>
          <w:strike w:val="0"/>
          <w:sz w:val="14"/>
          <w:u w:val="none"/>
        </w:rPr>
        <w:t xml:space="preserve">. The </w:t>
      </w:r>
      <w:r>
        <w:rPr>
          <w:b w:val="0"/>
          <w:i w:val="0"/>
          <w:smallCaps w:val="0"/>
          <w:strike w:val="0"/>
          <w:sz w:val="20"/>
          <w:u w:val="single"/>
        </w:rPr>
        <w:t>Court</w:t>
      </w:r>
      <w:r>
        <w:rPr>
          <w:b w:val="0"/>
          <w:i w:val="0"/>
          <w:smallCaps w:val="0"/>
          <w:strike w:val="0"/>
          <w:sz w:val="14"/>
          <w:u w:val="none"/>
        </w:rPr>
        <w:t xml:space="preserve"> also </w:t>
      </w:r>
      <w:r>
        <w:rPr>
          <w:b w:val="0"/>
          <w:i w:val="0"/>
          <w:smallCaps w:val="0"/>
          <w:strike w:val="0"/>
          <w:sz w:val="20"/>
          <w:u w:val="single"/>
        </w:rPr>
        <w:t>held</w:t>
      </w:r>
      <w:r>
        <w:rPr>
          <w:b w:val="0"/>
          <w:i w:val="0"/>
          <w:smallCaps w:val="0"/>
          <w:strike w:val="0"/>
          <w:sz w:val="14"/>
          <w:u w:val="none"/>
        </w:rPr>
        <w:t xml:space="preserve"> that </w:t>
      </w:r>
      <w:r>
        <w:rPr>
          <w:b w:val="0"/>
          <w:i w:val="0"/>
          <w:smallCaps w:val="0"/>
          <w:strike w:val="0"/>
          <w:sz w:val="20"/>
          <w:u w:val="single"/>
        </w:rPr>
        <w:t>IPRs</w:t>
      </w:r>
      <w:r>
        <w:rPr>
          <w:b w:val="0"/>
          <w:i w:val="0"/>
          <w:smallCaps w:val="0"/>
          <w:strike w:val="0"/>
          <w:sz w:val="14"/>
          <w:u w:val="none"/>
        </w:rPr>
        <w:t xml:space="preserve"> </w:t>
      </w:r>
      <w:r>
        <w:rPr>
          <w:b w:val="0"/>
          <w:i w:val="0"/>
          <w:smallCaps w:val="0"/>
          <w:strike w:val="0"/>
          <w:sz w:val="20"/>
          <w:u w:val="single"/>
        </w:rPr>
        <w:t>do not violate</w:t>
      </w:r>
      <w:r>
        <w:rPr>
          <w:b w:val="0"/>
          <w:i w:val="0"/>
          <w:smallCaps w:val="0"/>
          <w:strike w:val="0"/>
          <w:sz w:val="14"/>
          <w:u w:val="none"/>
        </w:rPr>
        <w:t xml:space="preserve"> the </w:t>
      </w:r>
      <w:r>
        <w:rPr>
          <w:b w:val="0"/>
          <w:i w:val="0"/>
          <w:smallCaps w:val="0"/>
          <w:strike w:val="0"/>
          <w:sz w:val="20"/>
          <w:u w:val="single"/>
        </w:rPr>
        <w:t>Seventh</w:t>
      </w:r>
      <w:r>
        <w:rPr>
          <w:b w:val="0"/>
          <w:i w:val="0"/>
          <w:smallCaps w:val="0"/>
          <w:strike w:val="0"/>
          <w:sz w:val="14"/>
          <w:u w:val="none"/>
        </w:rPr>
        <w:t xml:space="preserve"> </w:t>
      </w:r>
      <w:r>
        <w:rPr>
          <w:b w:val="0"/>
          <w:i w:val="0"/>
          <w:smallCaps w:val="0"/>
          <w:strike w:val="0"/>
          <w:sz w:val="20"/>
          <w:u w:val="single"/>
        </w:rPr>
        <w:t>Amendment</w:t>
      </w:r>
      <w:r>
        <w:rPr>
          <w:b w:val="0"/>
          <w:i w:val="0"/>
          <w:smallCaps w:val="0"/>
          <w:strike w:val="0"/>
          <w:sz w:val="14"/>
          <w:u w:val="none"/>
        </w:rPr>
        <w:t xml:space="preserve"> </w:t>
      </w:r>
      <w:r>
        <w:rPr>
          <w:b w:val="0"/>
          <w:i w:val="0"/>
          <w:smallCaps w:val="0"/>
          <w:strike w:val="0"/>
          <w:sz w:val="20"/>
          <w:u w:val="single"/>
        </w:rPr>
        <w:t>right to trial by jury.</w:t>
      </w:r>
      <w:r>
        <w:rPr>
          <w:b w:val="0"/>
          <w:i w:val="0"/>
          <w:smallCaps w:val="0"/>
          <w:strike w:val="0"/>
          <w:sz w:val="14"/>
          <w:u w:val="none"/>
        </w:rPr>
        <w:t xml:space="preserve"> Rather, </w:t>
      </w:r>
      <w:r>
        <w:rPr>
          <w:b w:val="0"/>
          <w:i w:val="0"/>
          <w:smallCaps w:val="0"/>
          <w:strike w:val="0"/>
          <w:sz w:val="20"/>
          <w:u w:val="single"/>
        </w:rPr>
        <w:t xml:space="preserve">'when Congress </w:t>
      </w:r>
      <w:r>
        <w:rPr>
          <w:b w:val="0"/>
          <w:i w:val="0"/>
          <w:smallCaps w:val="0"/>
          <w:strike w:val="0"/>
          <w:sz w:val="14"/>
          <w:u w:val="none"/>
        </w:rPr>
        <w:t xml:space="preserve">properly </w:t>
      </w:r>
      <w:r>
        <w:rPr>
          <w:b w:val="0"/>
          <w:i w:val="0"/>
          <w:smallCaps w:val="0"/>
          <w:strike w:val="0"/>
          <w:sz w:val="20"/>
          <w:u w:val="single"/>
        </w:rPr>
        <w:t>assigns a matter to adjudication</w:t>
      </w:r>
      <w:r>
        <w:rPr>
          <w:b w:val="0"/>
          <w:i w:val="0"/>
          <w:smallCaps w:val="0"/>
          <w:strike w:val="0"/>
          <w:sz w:val="14"/>
          <w:u w:val="none"/>
        </w:rPr>
        <w:t xml:space="preserve"> in a non-Article III tribunal, the Seventh Amendment poses </w:t>
      </w:r>
      <w:r>
        <w:rPr>
          <w:b w:val="0"/>
          <w:i w:val="0"/>
          <w:smallCaps w:val="0"/>
          <w:strike w:val="0"/>
          <w:sz w:val="20"/>
          <w:u w:val="single"/>
        </w:rPr>
        <w:t>no independent bar to</w:t>
      </w:r>
      <w:r>
        <w:rPr>
          <w:b w:val="0"/>
          <w:i w:val="0"/>
          <w:smallCaps w:val="0"/>
          <w:strike w:val="0"/>
          <w:sz w:val="14"/>
          <w:u w:val="none"/>
        </w:rPr>
        <w:t xml:space="preserve"> the </w:t>
      </w:r>
      <w:r>
        <w:rPr>
          <w:b w:val="0"/>
          <w:i w:val="0"/>
          <w:smallCaps w:val="0"/>
          <w:strike w:val="0"/>
          <w:sz w:val="20"/>
          <w:u w:val="single"/>
        </w:rPr>
        <w:t>adjudication</w:t>
      </w:r>
      <w:r>
        <w:rPr>
          <w:b w:val="0"/>
          <w:i w:val="0"/>
          <w:smallCaps w:val="0"/>
          <w:strike w:val="0"/>
          <w:sz w:val="14"/>
          <w:u w:val="none"/>
        </w:rPr>
        <w:t xml:space="preserve"> of that action </w:t>
      </w:r>
      <w:r>
        <w:rPr>
          <w:b w:val="0"/>
          <w:i w:val="0"/>
          <w:smallCaps w:val="0"/>
          <w:strike w:val="0"/>
          <w:sz w:val="20"/>
          <w:u w:val="single"/>
        </w:rPr>
        <w:t>by a nonjury factfinder</w:t>
      </w:r>
      <w:r>
        <w:rPr>
          <w:b w:val="0"/>
          <w:i w:val="0"/>
          <w:smallCaps w:val="0"/>
          <w:strike w:val="0"/>
          <w:sz w:val="14"/>
          <w:u w:val="none"/>
        </w:rPr>
        <w:t xml:space="preserve">.' </w:t>
      </w:r>
      <w:r>
        <w:rPr>
          <w:b w:val="0"/>
          <w:i w:val="0"/>
          <w:smallCaps w:val="0"/>
          <w:strike w:val="0"/>
          <w:sz w:val="16"/>
          <w:u w:val="none"/>
        </w:rPr>
        <w:t>Importantly, the Court emphasized that its holding was 'narrow,' and that it was not resolving many issues concerning the constitutionality of IPRs. For example, it was not addressing 'the retroactive application of inter partes review' where 'that procedure was not in place when [the] patent issued.' It also stated that it was not addressing due process concerns. These two caveats to the Court's decision are assuredly going to receive attention in future litigation, particularly given the Court's reliance on the fact that patents are now granted subject to the IPR process. Justices Breyer, Ginsburg, and Sotomayor issued a one-paragraph concurrence, emphasizing that even private rights may be subject to agency disposition. Justice Gorsuch dissented, in an opinion joined by Chief Justice Roberts. Opinion can be found here[1] SAS Institute Inc. v. Iancu, et al., Appeal No. 16-969 (U.S. 2018) In this parallel case, argued the same day as Oil States Energy, the Supreme Court held that the final written decision in any inter partes review must address all claims challenged by the petitioner in the Petition. This case undoubtedly will require an adjustment to Patent Office procedures for future IPRs. Petitioner SAS challenged a number of claims in a petition for an IPR. The PTAB instituted review on some, but not all of the claims. The Board ultimately found that all of the instituted claims, except for one, were unpatentable over the prior art. SAS appealed the decision not to institute an IPR on other claims challenged in the Petition. The Federal Circuit affirmed on that issue. SAS then appealed to the Supreme Court. In an opinion written by Justice Gorsuch, the Supreme Court reversed, holding that, if the Patent Office institutes review at all, it must institute review on all claims, and must issue a final written decision with respect to all claims challenged in the Petition. Justice Gorsuch pointed to 35 U.S.C. 318(a), which states that the Patent Office 'shall issue a final written decision with respect to the patentability of any patent claim challenged by the petitioner' (emphases added). Applying canons of statutory construction, the Court found this to mean that 'the Board must address every claim the petitioner has challenged' in its Final Written Decision (emphasis in original). The Court further found that the statute authorizing inter partes review is unambiguous on this point. Notably, the Court did not address whether PTAB must institute review on all asserted grounds, but instead focused on the necessary review of all challenged claims. That could be a significant issue as the PTAB has routinely instituted IPRs based on some grounds and denied other grounds at the institution stage as redundant or not raising a significant enough question of patentability. It remains for future courts to determine whether the Supreme Court's decision in SAS will be extended to require the PTAB to address all challenged grounds in final decisions, as well as all challenged claims. In reaching its conclusion, the Court undertook a review of the statutory provisions enabling inter partes reviews, and concluded that Congress envisioned an adversarial process bounded by the Petition, not by PTO's or the Director's discretion. The Court also held that any policy arguments favoring partial review were properly directed to Congress, and not to the Court. The Court also found that its decision was not precluded by 35 U.S.C. 314(d)'s admonition that decisions whether to institute are 'final and nonappealable,' as Congress did not signal a clear intent to foreclose review of whether the PTO had exceeded its statutory bounds. In one of two dissents, Justices Ginsberg, Breyer, Sotomayor and Kagan issued a one-paragraph opinion that the law does not appear to preclude PTO from outright rejecting Petitions containing weak challenges, and then instituting review on a subsequently-narrowed Petition. They characterized partial institution as a 'more rational way to weed out insubstantial challenges,' and argued that the majority would thus needlessly require PTO to either iteratively winnow petitions, or preside over wasteful litigation, in service to a 'wooden reading' of 318(a). Justices Breyer, Ginsburg and Sotomayor issued a more detailed dissent, which Justice Kagan joined in most parts. Applying a comprehensive review of the enabling statute, this dissent disagreed that 318(a)'s reference to 'any patent claim challenged by the petitioner' necessarily means 'challenged in the original petition,' and could just as easily refer to claims remaining challenged in the IPR itself, such as after Patent Owner cancellation or settlement. Given this ambiguity, Justice Breyer concluded that the 'partial institution' power was entitled to deference under Chevron. Opinion can be found here[2] [ 1]: https://communications.schwabe.com/email_handler.aspx?sid=df2583df-9d09- 4f0c-ae43-559e78ff5f82...irect=https%3a%2f%2fwww.supremecourt.gov%2fopinions%2f17pdf%2f16-712_87ad.pdf [ 2]: https://communications.schwabe.com/email_handler.aspx?sid=df2583df-9d09-4f0c-ae43- 559e78ff5f82...irect=https%3a%2f%2fwww.supremecourt.gov%2fopinions%2f17pdf%2f16-969_f2qg.pdf</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