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Inter partes review over patents is a public right— agencies are permitted to review and no shift from existing federalism</w:t>
      </w:r>
    </w:p>
    <w:p>
      <w:pPr>
        <w:spacing w:after="80"/>
      </w:pPr>
      <w:r>
        <w:rPr>
          <w:b w:val="0"/>
          <w:i w:val="0"/>
          <w:smallCaps w:val="0"/>
          <w:strike w:val="0"/>
          <w:sz w:val="20"/>
          <w:u w:val="none"/>
        </w:rPr>
        <w:t xml:space="preserve">John </w:t>
      </w:r>
      <w:r>
        <w:rPr>
          <w:b/>
          <w:i w:val="0"/>
          <w:smallCaps w:val="0"/>
          <w:strike w:val="0"/>
          <w:sz w:val="24"/>
          <w:u w:val="none"/>
        </w:rPr>
        <w:t xml:space="preserve">Harrison </w:t>
      </w:r>
      <w:r>
        <w:rPr>
          <w:b/>
          <w:i w:val="0"/>
          <w:smallCaps w:val="0"/>
          <w:strike w:val="0"/>
          <w:sz w:val="24"/>
          <w:u w:val="none"/>
        </w:rPr>
        <w:t>’</w:t>
      </w:r>
      <w:r>
        <w:rPr>
          <w:b/>
          <w:i w:val="0"/>
          <w:smallCaps w:val="0"/>
          <w:strike w:val="0"/>
          <w:sz w:val="24"/>
          <w:u w:val="none"/>
        </w:rPr>
        <w:t>19</w:t>
      </w:r>
      <w:r>
        <w:rPr>
          <w:b w:val="0"/>
          <w:i w:val="0"/>
          <w:smallCaps w:val="0"/>
          <w:strike w:val="0"/>
          <w:sz w:val="20"/>
          <w:u w:val="none"/>
        </w:rPr>
        <w:t xml:space="preserve"> [Associate Professor of Law, worked with US Department of Justice, graduate of the University of Virginia, law degree from Yale, associate at Patton Boggs &amp; Blow in DC, Georgia Law Review, 11/13/2019, “PUBLIC RIGHTS, PRIVATE PRIVILEGES, AND ARTICLE III” </w:t>
      </w:r>
      <w:r>
        <w:rPr>
          <w:b w:val="0"/>
          <w:i w:val="0"/>
          <w:smallCaps w:val="0"/>
          <w:strike w:val="0"/>
          <w:sz w:val="20"/>
          <w:u w:val="none"/>
        </w:rPr>
        <w:t>, MP3]</w:t>
      </w:r>
    </w:p>
    <w:p>
      <w:pPr>
        <w:spacing w:after="60"/>
      </w:pPr>
      <w:r>
        <w:rPr>
          <w:b w:val="0"/>
          <w:i w:val="0"/>
          <w:smallCaps w:val="0"/>
          <w:strike w:val="0"/>
          <w:sz w:val="16"/>
          <w:u w:val="none"/>
        </w:rPr>
        <w:t xml:space="preserve">For many decades the </w:t>
      </w:r>
      <w:r>
        <w:rPr>
          <w:b w:val="0"/>
          <w:i w:val="0"/>
          <w:smallCaps w:val="0"/>
          <w:strike w:val="0"/>
          <w:sz w:val="20"/>
          <w:u w:val="single"/>
        </w:rPr>
        <w:t>U.S. Supreme Court</w:t>
      </w:r>
      <w:r>
        <w:rPr>
          <w:b w:val="0"/>
          <w:i w:val="0"/>
          <w:smallCaps w:val="0"/>
          <w:strike w:val="0"/>
          <w:sz w:val="16"/>
          <w:u w:val="none"/>
        </w:rPr>
        <w:t xml:space="preserve"> has </w:t>
      </w:r>
      <w:r>
        <w:rPr>
          <w:b w:val="0"/>
          <w:i w:val="0"/>
          <w:smallCaps w:val="0"/>
          <w:strike w:val="0"/>
          <w:sz w:val="20"/>
          <w:u w:val="single"/>
        </w:rPr>
        <w:t>grappled with the constitutional issues</w:t>
      </w:r>
      <w:r>
        <w:rPr>
          <w:b w:val="0"/>
          <w:i w:val="0"/>
          <w:smallCaps w:val="0"/>
          <w:strike w:val="0"/>
          <w:sz w:val="16"/>
          <w:u w:val="none"/>
        </w:rPr>
        <w:t xml:space="preserve"> that </w:t>
      </w:r>
      <w:r>
        <w:rPr>
          <w:b w:val="0"/>
          <w:i w:val="0"/>
          <w:smallCaps w:val="0"/>
          <w:strike w:val="0"/>
          <w:sz w:val="20"/>
          <w:u w:val="single"/>
        </w:rPr>
        <w:t>arise when</w:t>
      </w:r>
      <w:r>
        <w:rPr>
          <w:b w:val="0"/>
          <w:i w:val="0"/>
          <w:smallCaps w:val="0"/>
          <w:strike w:val="0"/>
          <w:sz w:val="16"/>
          <w:u w:val="none"/>
        </w:rPr>
        <w:t xml:space="preserve"> a </w:t>
      </w:r>
      <w:r>
        <w:rPr>
          <w:b w:val="0"/>
          <w:i w:val="0"/>
          <w:smallCaps w:val="0"/>
          <w:strike w:val="0"/>
          <w:sz w:val="20"/>
          <w:u w:val="single"/>
        </w:rPr>
        <w:t>federal institution</w:t>
      </w:r>
      <w:r>
        <w:rPr>
          <w:b w:val="0"/>
          <w:i w:val="0"/>
          <w:smallCaps w:val="0"/>
          <w:strike w:val="0"/>
          <w:sz w:val="16"/>
          <w:u w:val="none"/>
        </w:rPr>
        <w:t xml:space="preserve"> other than an Article III court </w:t>
      </w:r>
      <w:r>
        <w:rPr>
          <w:b w:val="0"/>
          <w:i w:val="0"/>
          <w:smallCaps w:val="0"/>
          <w:strike w:val="0"/>
          <w:sz w:val="20"/>
          <w:u w:val="single"/>
        </w:rPr>
        <w:t>makes a decision based on the application of law</w:t>
      </w:r>
      <w:r>
        <w:rPr>
          <w:b w:val="0"/>
          <w:i w:val="0"/>
          <w:smallCaps w:val="0"/>
          <w:strike w:val="0"/>
          <w:sz w:val="16"/>
          <w:u w:val="none"/>
        </w:rPr>
        <w:t xml:space="preserve"> to fact, </w:t>
      </w:r>
      <w:r>
        <w:rPr>
          <w:b w:val="0"/>
          <w:i w:val="0"/>
          <w:smallCaps w:val="0"/>
          <w:strike w:val="0"/>
          <w:sz w:val="20"/>
          <w:u w:val="single"/>
        </w:rPr>
        <w:t>where that institution’s conclusion</w:t>
      </w:r>
      <w:r>
        <w:rPr>
          <w:b w:val="0"/>
          <w:i w:val="0"/>
          <w:smallCaps w:val="0"/>
          <w:strike w:val="0"/>
          <w:sz w:val="16"/>
          <w:u w:val="none"/>
        </w:rPr>
        <w:t xml:space="preserve"> </w:t>
      </w:r>
      <w:r>
        <w:rPr>
          <w:b w:val="0"/>
          <w:i w:val="0"/>
          <w:smallCaps w:val="0"/>
          <w:strike w:val="0"/>
          <w:sz w:val="20"/>
          <w:u w:val="single"/>
        </w:rPr>
        <w:t xml:space="preserve">will not be subject to </w:t>
      </w:r>
      <w:r>
        <w:rPr>
          <w:b w:val="0"/>
          <w:i w:val="0"/>
          <w:smallCaps w:val="0"/>
          <w:strike w:val="0"/>
          <w:sz w:val="20"/>
          <w:u w:val="single"/>
        </w:rPr>
        <w:t>de novo</w:t>
      </w:r>
      <w:r>
        <w:rPr>
          <w:b w:val="0"/>
          <w:i w:val="0"/>
          <w:smallCaps w:val="0"/>
          <w:strike w:val="0"/>
          <w:sz w:val="20"/>
          <w:u w:val="single"/>
        </w:rPr>
        <w:t xml:space="preserve"> consideration in an Article III tribunal</w:t>
      </w:r>
      <w:r>
        <w:rPr>
          <w:b w:val="0"/>
          <w:i w:val="0"/>
          <w:smallCaps w:val="0"/>
          <w:strike w:val="0"/>
          <w:sz w:val="16"/>
          <w:u w:val="none"/>
        </w:rPr>
        <w:t>.8 The Court under Chief Justice Marshall discussed the status of the courts of the federal territories, which functioned much like state courts but many of which did not have life-tenured judges.9 The problem of adjudication outside the Article III courts continued to come before the Court.10 In 1982, in Northern Pipeline Co. v. Marathon Pipe Line Co., 11 the Court considered the constitutionality of the bankruptcy courts that Congress had established in the Bankruptcy Reform Act of 1978. The judges of those courts did not serve for life, and the courts were authorized to decide a wide range of issues subject to only limited review by Article III courts.12 Northern Pipeline involved a claim under state law, not a question of federal bankruptcy law. Northern Pipeline had filed for bankruptcy reorganization and, as allowed by the Bankruptcy Act, brought a proceeding in the bankruptcy court against Marathon Pipe Line, seeking damages for breach of contract, warranty, misrepresentation, coercion, and duress.13 The Court concluded that Article III barred that jurisdiction but produced no opinion for the majority.</w:t>
      </w:r>
    </w:p>
    <w:p>
      <w:pPr>
        <w:spacing w:after="60"/>
      </w:pPr>
      <w:r>
        <w:rPr>
          <w:b w:val="0"/>
          <w:i w:val="0"/>
          <w:smallCaps w:val="0"/>
          <w:strike w:val="0"/>
          <w:sz w:val="16"/>
          <w:u w:val="none"/>
        </w:rPr>
        <w:t xml:space="preserve">Speaking for four of the Justices in the majority, Justice </w:t>
      </w:r>
      <w:r>
        <w:rPr>
          <w:b w:val="0"/>
          <w:i w:val="0"/>
          <w:smallCaps w:val="0"/>
          <w:strike w:val="0"/>
          <w:sz w:val="20"/>
          <w:u w:val="single"/>
        </w:rPr>
        <w:t>Brennan</w:t>
      </w:r>
      <w:r>
        <w:rPr>
          <w:b w:val="0"/>
          <w:i w:val="0"/>
          <w:smallCaps w:val="0"/>
          <w:strike w:val="0"/>
          <w:sz w:val="16"/>
          <w:u w:val="none"/>
        </w:rPr>
        <w:t xml:space="preserve"> sought to find the pattern in the Court’s precedents. The United States, as amicus curiae in support of the Act’s constitutionality, had </w:t>
      </w:r>
      <w:r>
        <w:rPr>
          <w:b w:val="0"/>
          <w:i w:val="0"/>
          <w:smallCaps w:val="0"/>
          <w:strike w:val="0"/>
          <w:sz w:val="20"/>
          <w:u w:val="single"/>
        </w:rPr>
        <w:t>argued</w:t>
      </w:r>
      <w:r>
        <w:rPr>
          <w:b w:val="0"/>
          <w:i w:val="0"/>
          <w:smallCaps w:val="0"/>
          <w:strike w:val="0"/>
          <w:sz w:val="16"/>
          <w:u w:val="none"/>
        </w:rPr>
        <w:t xml:space="preserve"> that under the Court’s cases, “</w:t>
      </w:r>
      <w:r>
        <w:rPr>
          <w:b w:val="0"/>
          <w:i w:val="0"/>
          <w:smallCaps w:val="0"/>
          <w:strike w:val="0"/>
          <w:sz w:val="20"/>
          <w:u w:val="single"/>
        </w:rPr>
        <w:t>pursuant</w:t>
      </w:r>
      <w:r>
        <w:rPr>
          <w:b w:val="0"/>
          <w:i w:val="0"/>
          <w:smallCaps w:val="0"/>
          <w:strike w:val="0"/>
          <w:sz w:val="20"/>
          <w:u w:val="single"/>
        </w:rPr>
        <w:t xml:space="preserve"> to its enumerated Article I powers, Congress may </w:t>
      </w:r>
      <w:r>
        <w:rPr>
          <w:b w:val="0"/>
          <w:i w:val="0"/>
          <w:smallCaps w:val="0"/>
          <w:strike w:val="0"/>
          <w:sz w:val="20"/>
          <w:u w:val="single"/>
        </w:rPr>
        <w:t>establish</w:t>
      </w:r>
      <w:r>
        <w:rPr>
          <w:b w:val="0"/>
          <w:i w:val="0"/>
          <w:smallCaps w:val="0"/>
          <w:strike w:val="0"/>
          <w:sz w:val="20"/>
          <w:u w:val="single"/>
        </w:rPr>
        <w:t xml:space="preserve"> legislative courts that have </w:t>
      </w:r>
      <w:r>
        <w:rPr>
          <w:b w:val="0"/>
          <w:i w:val="0"/>
          <w:smallCaps w:val="0"/>
          <w:strike w:val="0"/>
          <w:sz w:val="20"/>
          <w:u w:val="single"/>
        </w:rPr>
        <w:t>jurisdiction</w:t>
      </w:r>
      <w:r>
        <w:rPr>
          <w:b w:val="0"/>
          <w:i w:val="0"/>
          <w:smallCaps w:val="0"/>
          <w:strike w:val="0"/>
          <w:sz w:val="20"/>
          <w:u w:val="single"/>
        </w:rPr>
        <w:t xml:space="preserve"> to decide cases to which the Article III judicial power of the United States extends</w:t>
      </w:r>
      <w:r>
        <w:rPr>
          <w:b w:val="0"/>
          <w:i w:val="0"/>
          <w:smallCaps w:val="0"/>
          <w:strike w:val="0"/>
          <w:sz w:val="16"/>
          <w:u w:val="none"/>
        </w:rPr>
        <w:t xml:space="preserve">.”14 According to the Solicitor General, that </w:t>
      </w:r>
      <w:r>
        <w:rPr>
          <w:b w:val="0"/>
          <w:i w:val="0"/>
          <w:smallCaps w:val="0"/>
          <w:strike w:val="0"/>
          <w:sz w:val="20"/>
          <w:u w:val="single"/>
        </w:rPr>
        <w:t>power</w:t>
      </w:r>
      <w:r>
        <w:rPr>
          <w:b w:val="0"/>
          <w:i w:val="0"/>
          <w:smallCaps w:val="0"/>
          <w:strike w:val="0"/>
          <w:sz w:val="16"/>
          <w:u w:val="none"/>
        </w:rPr>
        <w:t xml:space="preserve"> </w:t>
      </w:r>
      <w:r>
        <w:rPr>
          <w:b w:val="0"/>
          <w:i w:val="0"/>
          <w:smallCaps w:val="0"/>
          <w:strike w:val="0"/>
          <w:sz w:val="20"/>
          <w:u w:val="single"/>
        </w:rPr>
        <w:t>included specialized areas</w:t>
      </w:r>
      <w:r>
        <w:rPr>
          <w:b w:val="0"/>
          <w:i w:val="0"/>
          <w:smallCaps w:val="0"/>
          <w:strike w:val="0"/>
          <w:sz w:val="16"/>
          <w:u w:val="none"/>
        </w:rPr>
        <w:t xml:space="preserve"> such as bankruptcy law.15 Justice Brennan responded that “</w:t>
      </w:r>
      <w:r>
        <w:rPr>
          <w:b w:val="0"/>
          <w:i w:val="0"/>
          <w:smallCaps w:val="0"/>
          <w:strike w:val="0"/>
          <w:sz w:val="20"/>
          <w:u w:val="single"/>
        </w:rPr>
        <w:t xml:space="preserve">when properly understood, these </w:t>
      </w:r>
      <w:r>
        <w:rPr>
          <w:b w:val="0"/>
          <w:i w:val="0"/>
          <w:smallCaps w:val="0"/>
          <w:strike w:val="0"/>
          <w:sz w:val="20"/>
          <w:u w:val="single"/>
        </w:rPr>
        <w:t>precedents</w:t>
      </w:r>
      <w:r>
        <w:rPr>
          <w:b w:val="0"/>
          <w:i w:val="0"/>
          <w:smallCaps w:val="0"/>
          <w:strike w:val="0"/>
          <w:sz w:val="16"/>
          <w:u w:val="none"/>
        </w:rPr>
        <w:t xml:space="preserve"> [relied on by the Solicitor General] </w:t>
      </w:r>
      <w:r>
        <w:rPr>
          <w:b w:val="0"/>
          <w:i w:val="0"/>
          <w:smallCaps w:val="0"/>
          <w:strike w:val="0"/>
          <w:sz w:val="20"/>
          <w:u w:val="single"/>
        </w:rPr>
        <w:t xml:space="preserve">represent </w:t>
      </w:r>
      <w:r>
        <w:rPr>
          <w:b w:val="0"/>
          <w:i w:val="0"/>
          <w:smallCaps w:val="0"/>
          <w:strike w:val="0"/>
          <w:sz w:val="20"/>
          <w:u w:val="single"/>
        </w:rPr>
        <w:t>no broad departure</w:t>
      </w:r>
      <w:r>
        <w:rPr>
          <w:b w:val="0"/>
          <w:i w:val="0"/>
          <w:smallCaps w:val="0"/>
          <w:strike w:val="0"/>
          <w:sz w:val="20"/>
          <w:u w:val="single"/>
        </w:rPr>
        <w:t xml:space="preserve"> from the </w:t>
      </w:r>
      <w:r>
        <w:rPr>
          <w:b w:val="0"/>
          <w:i w:val="0"/>
          <w:smallCaps w:val="0"/>
          <w:strike w:val="0"/>
          <w:sz w:val="20"/>
          <w:u w:val="single"/>
        </w:rPr>
        <w:t>constitutional command</w:t>
      </w:r>
      <w:r>
        <w:rPr>
          <w:b w:val="0"/>
          <w:i w:val="0"/>
          <w:smallCaps w:val="0"/>
          <w:strike w:val="0"/>
          <w:sz w:val="20"/>
          <w:u w:val="single"/>
        </w:rPr>
        <w:t xml:space="preserve"> that the judicial power of the United States must be vested in Art. III</w:t>
      </w:r>
      <w:r>
        <w:rPr>
          <w:b w:val="0"/>
          <w:i w:val="0"/>
          <w:smallCaps w:val="0"/>
          <w:strike w:val="0"/>
          <w:sz w:val="16"/>
          <w:u w:val="none"/>
        </w:rPr>
        <w:t xml:space="preserve"> courts.”16 Instead, “they </w:t>
      </w:r>
      <w:r>
        <w:rPr>
          <w:b w:val="0"/>
          <w:i w:val="0"/>
          <w:smallCaps w:val="0"/>
          <w:strike w:val="0"/>
          <w:sz w:val="20"/>
          <w:u w:val="single"/>
        </w:rPr>
        <w:t>reduce</w:t>
      </w:r>
      <w:r>
        <w:rPr>
          <w:b w:val="0"/>
          <w:i w:val="0"/>
          <w:smallCaps w:val="0"/>
          <w:strike w:val="0"/>
          <w:sz w:val="16"/>
          <w:u w:val="none"/>
        </w:rPr>
        <w:t xml:space="preserve"> </w:t>
      </w:r>
      <w:r>
        <w:rPr>
          <w:b w:val="0"/>
          <w:i w:val="0"/>
          <w:smallCaps w:val="0"/>
          <w:strike w:val="0"/>
          <w:sz w:val="20"/>
          <w:u w:val="single"/>
        </w:rPr>
        <w:t xml:space="preserve">to three narrow </w:t>
      </w:r>
      <w:r>
        <w:rPr>
          <w:b w:val="0"/>
          <w:i w:val="0"/>
          <w:smallCaps w:val="0"/>
          <w:strike w:val="0"/>
          <w:sz w:val="20"/>
          <w:u w:val="single"/>
        </w:rPr>
        <w:t>situations</w:t>
      </w:r>
      <w:r>
        <w:rPr>
          <w:b w:val="0"/>
          <w:i w:val="0"/>
          <w:smallCaps w:val="0"/>
          <w:strike w:val="0"/>
          <w:sz w:val="16"/>
          <w:u w:val="none"/>
        </w:rPr>
        <w:t xml:space="preserve"> not subject to that command, each </w:t>
      </w:r>
      <w:r>
        <w:rPr>
          <w:b w:val="0"/>
          <w:i w:val="0"/>
          <w:smallCaps w:val="0"/>
          <w:strike w:val="0"/>
          <w:sz w:val="20"/>
          <w:u w:val="single"/>
        </w:rPr>
        <w:t>recognizing</w:t>
      </w:r>
      <w:r>
        <w:rPr>
          <w:b w:val="0"/>
          <w:i w:val="0"/>
          <w:smallCaps w:val="0"/>
          <w:strike w:val="0"/>
          <w:sz w:val="16"/>
          <w:u w:val="none"/>
        </w:rPr>
        <w:t xml:space="preserve"> a </w:t>
      </w:r>
      <w:r>
        <w:rPr>
          <w:b w:val="0"/>
          <w:i w:val="0"/>
          <w:smallCaps w:val="0"/>
          <w:strike w:val="0"/>
          <w:sz w:val="20"/>
          <w:u w:val="single"/>
        </w:rPr>
        <w:t>circumstance</w:t>
      </w:r>
      <w:r>
        <w:rPr>
          <w:b w:val="0"/>
          <w:i w:val="0"/>
          <w:smallCaps w:val="0"/>
          <w:strike w:val="0"/>
          <w:sz w:val="20"/>
          <w:u w:val="single"/>
        </w:rPr>
        <w:t xml:space="preserve"> in which</w:t>
      </w:r>
      <w:r>
        <w:rPr>
          <w:b w:val="0"/>
          <w:i w:val="0"/>
          <w:smallCaps w:val="0"/>
          <w:strike w:val="0"/>
          <w:sz w:val="16"/>
          <w:u w:val="none"/>
        </w:rPr>
        <w:t xml:space="preserve"> the </w:t>
      </w:r>
      <w:r>
        <w:rPr>
          <w:b w:val="0"/>
          <w:i w:val="0"/>
          <w:smallCaps w:val="0"/>
          <w:strike w:val="0"/>
          <w:sz w:val="20"/>
          <w:u w:val="single"/>
        </w:rPr>
        <w:t xml:space="preserve">grant of </w:t>
      </w:r>
      <w:r>
        <w:rPr>
          <w:b w:val="0"/>
          <w:i w:val="0"/>
          <w:smallCaps w:val="0"/>
          <w:strike w:val="0"/>
          <w:sz w:val="20"/>
          <w:u w:val="single"/>
        </w:rPr>
        <w:t>power</w:t>
      </w:r>
      <w:r>
        <w:rPr>
          <w:b w:val="0"/>
          <w:i w:val="0"/>
          <w:smallCaps w:val="0"/>
          <w:strike w:val="0"/>
          <w:sz w:val="20"/>
          <w:u w:val="single"/>
        </w:rPr>
        <w:t xml:space="preserve"> to the Legislative</w:t>
      </w:r>
      <w:r>
        <w:rPr>
          <w:b w:val="0"/>
          <w:i w:val="0"/>
          <w:smallCaps w:val="0"/>
          <w:strike w:val="0"/>
          <w:sz w:val="16"/>
          <w:u w:val="none"/>
        </w:rPr>
        <w:t xml:space="preserve"> and Executive Branches </w:t>
      </w:r>
      <w:r>
        <w:rPr>
          <w:b w:val="0"/>
          <w:i w:val="0"/>
          <w:smallCaps w:val="0"/>
          <w:strike w:val="0"/>
          <w:sz w:val="20"/>
          <w:u w:val="single"/>
        </w:rPr>
        <w:t xml:space="preserve">was historically and constitutionally so </w:t>
      </w:r>
      <w:r>
        <w:rPr>
          <w:b w:val="0"/>
          <w:i w:val="0"/>
          <w:smallCaps w:val="0"/>
          <w:strike w:val="0"/>
          <w:sz w:val="20"/>
          <w:u w:val="single"/>
        </w:rPr>
        <w:t>exceptional</w:t>
      </w:r>
      <w:r>
        <w:rPr>
          <w:b w:val="0"/>
          <w:i w:val="0"/>
          <w:smallCaps w:val="0"/>
          <w:strike w:val="0"/>
          <w:sz w:val="16"/>
          <w:u w:val="none"/>
        </w:rPr>
        <w:t xml:space="preserve"> that the [assertion of congressional power] </w:t>
      </w:r>
      <w:r>
        <w:rPr>
          <w:b w:val="0"/>
          <w:i w:val="0"/>
          <w:smallCaps w:val="0"/>
          <w:strike w:val="0"/>
          <w:sz w:val="20"/>
          <w:u w:val="single"/>
        </w:rPr>
        <w:t xml:space="preserve">was </w:t>
      </w:r>
      <w:r>
        <w:rPr>
          <w:b w:val="0"/>
          <w:i w:val="0"/>
          <w:smallCaps w:val="0"/>
          <w:strike w:val="0"/>
          <w:sz w:val="20"/>
          <w:u w:val="single"/>
        </w:rPr>
        <w:t>consistent</w:t>
      </w:r>
      <w:r>
        <w:rPr>
          <w:b w:val="0"/>
          <w:i w:val="0"/>
          <w:smallCaps w:val="0"/>
          <w:strike w:val="0"/>
          <w:sz w:val="20"/>
          <w:u w:val="single"/>
        </w:rPr>
        <w:t xml:space="preserve"> with</w:t>
      </w:r>
      <w:r>
        <w:rPr>
          <w:b w:val="0"/>
          <w:i w:val="0"/>
          <w:smallCaps w:val="0"/>
          <w:strike w:val="0"/>
          <w:sz w:val="16"/>
          <w:u w:val="none"/>
        </w:rPr>
        <w:t xml:space="preserve">, rather than threatening to, the constitutional </w:t>
      </w:r>
      <w:r>
        <w:rPr>
          <w:b w:val="0"/>
          <w:i w:val="0"/>
          <w:smallCaps w:val="0"/>
          <w:strike w:val="0"/>
          <w:sz w:val="20"/>
          <w:u w:val="single"/>
        </w:rPr>
        <w:t>mandate</w:t>
      </w:r>
      <w:r>
        <w:rPr>
          <w:b w:val="0"/>
          <w:i w:val="0"/>
          <w:smallCaps w:val="0"/>
          <w:strike w:val="0"/>
          <w:sz w:val="20"/>
          <w:u w:val="single"/>
        </w:rPr>
        <w:t xml:space="preserve"> of separation</w:t>
      </w:r>
      <w:r>
        <w:rPr>
          <w:b w:val="0"/>
          <w:i w:val="0"/>
          <w:smallCaps w:val="0"/>
          <w:strike w:val="0"/>
          <w:sz w:val="16"/>
          <w:u w:val="none"/>
        </w:rPr>
        <w:t xml:space="preserve"> of powers.”17 Two of those narrow, exceptional situations involved territorial courts and courts-martial.18 The third, and the subject of current controversy and this Article, were cases “in which [the] Court has upheld the constitutionality of legislative courts and administrative agencies created by Congress to adjudicate cases involving ‘public rights.’”19. </w:t>
      </w:r>
    </w:p>
    <w:p>
      <w:pPr>
        <w:spacing w:after="60"/>
      </w:pPr>
      <w:r>
        <w:rPr>
          <w:b w:val="0"/>
          <w:i w:val="0"/>
          <w:smallCaps w:val="0"/>
          <w:strike w:val="0"/>
          <w:sz w:val="16"/>
          <w:u w:val="none"/>
        </w:rPr>
        <w:t xml:space="preserve">The historical practice underlying the Court’s concept of public rights adjudication was the subject of a major study published by Professor Caleb Nelson in 2007.20 As he explained, under nineteenth and early twentieth century doctrine, </w:t>
      </w:r>
      <w:r>
        <w:rPr>
          <w:b w:val="0"/>
          <w:i w:val="0"/>
          <w:smallCaps w:val="0"/>
          <w:strike w:val="0"/>
          <w:sz w:val="20"/>
          <w:u w:val="single"/>
        </w:rPr>
        <w:t xml:space="preserve">executive officials could make decisions based on the application of law to fact that would be subject to </w:t>
      </w:r>
      <w:r>
        <w:rPr>
          <w:b w:val="0"/>
          <w:i w:val="0"/>
          <w:smallCaps w:val="0"/>
          <w:strike w:val="0"/>
          <w:sz w:val="20"/>
          <w:u w:val="single"/>
        </w:rPr>
        <w:t>limited</w:t>
      </w:r>
      <w:r>
        <w:rPr>
          <w:b w:val="0"/>
          <w:i w:val="0"/>
          <w:smallCaps w:val="0"/>
          <w:strike w:val="0"/>
          <w:sz w:val="20"/>
          <w:u w:val="single"/>
        </w:rPr>
        <w:t xml:space="preserve"> or no review in Article III courts when the legal interests at stake fell into certain categories.</w:t>
      </w:r>
      <w:r>
        <w:rPr>
          <w:b w:val="0"/>
          <w:i w:val="0"/>
          <w:smallCaps w:val="0"/>
          <w:strike w:val="0"/>
          <w:sz w:val="16"/>
          <w:u w:val="none"/>
        </w:rPr>
        <w:t xml:space="preserve">21 As recounted in more detail below, Nelson found that </w:t>
      </w:r>
      <w:r>
        <w:rPr>
          <w:b w:val="0"/>
          <w:i w:val="0"/>
          <w:smallCaps w:val="0"/>
          <w:strike w:val="0"/>
          <w:sz w:val="20"/>
          <w:u w:val="single"/>
        </w:rPr>
        <w:t xml:space="preserve">executive adjudication was </w:t>
      </w:r>
      <w:r>
        <w:rPr>
          <w:b w:val="0"/>
          <w:i w:val="0"/>
          <w:smallCaps w:val="0"/>
          <w:strike w:val="0"/>
          <w:sz w:val="20"/>
          <w:u w:val="single"/>
        </w:rPr>
        <w:t>permissible</w:t>
      </w:r>
      <w:r>
        <w:rPr>
          <w:b w:val="0"/>
          <w:i w:val="0"/>
          <w:smallCaps w:val="0"/>
          <w:strike w:val="0"/>
          <w:sz w:val="20"/>
          <w:u w:val="single"/>
        </w:rPr>
        <w:t xml:space="preserve"> with respect to </w:t>
      </w:r>
      <w:r>
        <w:rPr>
          <w:b w:val="0"/>
          <w:i w:val="0"/>
          <w:smallCaps w:val="0"/>
          <w:strike w:val="0"/>
          <w:sz w:val="20"/>
          <w:u w:val="single"/>
        </w:rPr>
        <w:t>public benefits</w:t>
      </w:r>
      <w:r>
        <w:rPr>
          <w:b w:val="0"/>
          <w:i w:val="0"/>
          <w:smallCaps w:val="0"/>
          <w:strike w:val="0"/>
          <w:sz w:val="20"/>
          <w:u w:val="single"/>
        </w:rPr>
        <w:t xml:space="preserve"> and so-called </w:t>
      </w:r>
      <w:r>
        <w:rPr>
          <w:b w:val="0"/>
          <w:i w:val="0"/>
          <w:smallCaps w:val="0"/>
          <w:strike w:val="0"/>
          <w:sz w:val="20"/>
          <w:u w:val="single"/>
        </w:rPr>
        <w:t>public franchises</w:t>
      </w:r>
      <w:r>
        <w:rPr>
          <w:b w:val="0"/>
          <w:i w:val="0"/>
          <w:smallCaps w:val="0"/>
          <w:strike w:val="0"/>
          <w:sz w:val="16"/>
          <w:u w:val="none"/>
        </w:rPr>
        <w:t xml:space="preserve">, like corporate charters, but </w:t>
      </w:r>
      <w:r>
        <w:rPr>
          <w:b w:val="0"/>
          <w:i w:val="0"/>
          <w:smallCaps w:val="0"/>
          <w:strike w:val="0"/>
          <w:sz w:val="20"/>
          <w:u w:val="single"/>
        </w:rPr>
        <w:t>not</w:t>
      </w:r>
      <w:r>
        <w:rPr>
          <w:b w:val="0"/>
          <w:i w:val="0"/>
          <w:smallCaps w:val="0"/>
          <w:strike w:val="0"/>
          <w:sz w:val="20"/>
          <w:u w:val="single"/>
        </w:rPr>
        <w:t xml:space="preserve"> with respect to what he calls “core </w:t>
      </w:r>
      <w:r>
        <w:rPr>
          <w:b w:val="0"/>
          <w:i w:val="0"/>
          <w:smallCaps w:val="0"/>
          <w:strike w:val="0"/>
          <w:sz w:val="20"/>
          <w:u w:val="single"/>
        </w:rPr>
        <w:t>private</w:t>
      </w:r>
      <w:r>
        <w:rPr>
          <w:b w:val="0"/>
          <w:i w:val="0"/>
          <w:smallCaps w:val="0"/>
          <w:strike w:val="0"/>
          <w:sz w:val="20"/>
          <w:u w:val="single"/>
        </w:rPr>
        <w:t xml:space="preserve"> right</w:t>
      </w:r>
      <w:r>
        <w:rPr>
          <w:b w:val="0"/>
          <w:i w:val="0"/>
          <w:smallCaps w:val="0"/>
          <w:strike w:val="0"/>
          <w:sz w:val="16"/>
          <w:u w:val="none"/>
        </w:rPr>
        <w:t xml:space="preserve">s.”22 </w:t>
      </w:r>
      <w:r>
        <w:rPr>
          <w:b w:val="0"/>
          <w:i w:val="0"/>
          <w:smallCaps w:val="0"/>
          <w:strike w:val="0"/>
          <w:sz w:val="20"/>
          <w:u w:val="single"/>
        </w:rPr>
        <w:t>Ordinary private interests based on property</w:t>
      </w:r>
      <w:r>
        <w:rPr>
          <w:b w:val="0"/>
          <w:i w:val="0"/>
          <w:smallCaps w:val="0"/>
          <w:strike w:val="0"/>
          <w:sz w:val="16"/>
          <w:u w:val="none"/>
        </w:rPr>
        <w:t xml:space="preserve"> and contract were </w:t>
      </w:r>
      <w:r>
        <w:rPr>
          <w:b w:val="0"/>
          <w:i w:val="0"/>
          <w:smallCaps w:val="0"/>
          <w:strike w:val="0"/>
          <w:sz w:val="20"/>
          <w:u w:val="single"/>
        </w:rPr>
        <w:t>leading examples of core private right</w:t>
      </w:r>
      <w:r>
        <w:rPr>
          <w:b w:val="0"/>
          <w:i w:val="0"/>
          <w:smallCaps w:val="0"/>
          <w:strike w:val="0"/>
          <w:sz w:val="16"/>
          <w:u w:val="none"/>
        </w:rPr>
        <w:t xml:space="preserve">s. The Court recently has again noted the distinction between public and private rights in discussing its cases that rely on the presence of the former. Writing for the Court in Stern v. Marshall, 23 Chief Justice </w:t>
      </w:r>
      <w:r>
        <w:rPr>
          <w:b w:val="0"/>
          <w:i w:val="0"/>
          <w:smallCaps w:val="0"/>
          <w:strike w:val="0"/>
          <w:sz w:val="16"/>
          <w:u w:val="none"/>
        </w:rPr>
        <w:t xml:space="preserve">Roberts wrote that its decisions have “contrasted cases within the reach of the public rights exception” with those </w:t>
      </w:r>
      <w:r>
        <w:rPr>
          <w:b w:val="0"/>
          <w:i w:val="0"/>
          <w:smallCaps w:val="0"/>
          <w:strike w:val="0"/>
          <w:sz w:val="20"/>
          <w:u w:val="single"/>
        </w:rPr>
        <w:t>involving</w:t>
      </w:r>
      <w:r>
        <w:rPr>
          <w:b w:val="0"/>
          <w:i w:val="0"/>
          <w:smallCaps w:val="0"/>
          <w:strike w:val="0"/>
          <w:sz w:val="16"/>
          <w:u w:val="none"/>
        </w:rPr>
        <w:t xml:space="preserve"> matters </w:t>
      </w:r>
      <w:r>
        <w:rPr>
          <w:b w:val="0"/>
          <w:i w:val="0"/>
          <w:smallCaps w:val="0"/>
          <w:strike w:val="0"/>
          <w:sz w:val="20"/>
          <w:u w:val="single"/>
        </w:rPr>
        <w:t xml:space="preserve">of </w:t>
      </w:r>
      <w:r>
        <w:rPr>
          <w:b w:val="0"/>
          <w:i w:val="0"/>
          <w:smallCaps w:val="0"/>
          <w:strike w:val="0"/>
          <w:sz w:val="20"/>
          <w:u w:val="single"/>
        </w:rPr>
        <w:t>private</w:t>
      </w:r>
      <w:r>
        <w:rPr>
          <w:b w:val="0"/>
          <w:i w:val="0"/>
          <w:smallCaps w:val="0"/>
          <w:strike w:val="0"/>
          <w:sz w:val="20"/>
          <w:u w:val="single"/>
        </w:rPr>
        <w:t xml:space="preserve"> </w:t>
      </w:r>
      <w:r>
        <w:rPr>
          <w:b w:val="0"/>
          <w:i w:val="0"/>
          <w:smallCaps w:val="0"/>
          <w:strike w:val="0"/>
          <w:sz w:val="20"/>
          <w:u w:val="single"/>
        </w:rPr>
        <w:t>right</w:t>
      </w:r>
      <w:r>
        <w:rPr>
          <w:b w:val="0"/>
          <w:i w:val="0"/>
          <w:smallCaps w:val="0"/>
          <w:strike w:val="0"/>
          <w:sz w:val="16"/>
          <w:u w:val="none"/>
        </w:rPr>
        <w:t xml:space="preserve">.24 In Oil States, the Court, through Justice Thomas, explained that “[w]hen </w:t>
      </w:r>
      <w:r>
        <w:rPr>
          <w:b w:val="0"/>
          <w:i w:val="0"/>
          <w:smallCaps w:val="0"/>
          <w:strike w:val="0"/>
          <w:sz w:val="20"/>
          <w:u w:val="single"/>
        </w:rPr>
        <w:t xml:space="preserve">determining whether a </w:t>
      </w:r>
      <w:r>
        <w:rPr>
          <w:b w:val="0"/>
          <w:i w:val="0"/>
          <w:smallCaps w:val="0"/>
          <w:strike w:val="0"/>
          <w:sz w:val="20"/>
          <w:u w:val="single"/>
        </w:rPr>
        <w:t>proceeding</w:t>
      </w:r>
      <w:r>
        <w:rPr>
          <w:b w:val="0"/>
          <w:i w:val="0"/>
          <w:smallCaps w:val="0"/>
          <w:strike w:val="0"/>
          <w:sz w:val="20"/>
          <w:u w:val="single"/>
        </w:rPr>
        <w:t xml:space="preserve"> involves an exercise of Article III judicial power,</w:t>
      </w:r>
      <w:r>
        <w:rPr>
          <w:b w:val="0"/>
          <w:i w:val="0"/>
          <w:smallCaps w:val="0"/>
          <w:strike w:val="0"/>
          <w:sz w:val="16"/>
          <w:u w:val="none"/>
        </w:rPr>
        <w:t xml:space="preserve"> this Court’s </w:t>
      </w:r>
      <w:r>
        <w:rPr>
          <w:b w:val="0"/>
          <w:i w:val="0"/>
          <w:smallCaps w:val="0"/>
          <w:strike w:val="0"/>
          <w:sz w:val="20"/>
          <w:u w:val="single"/>
        </w:rPr>
        <w:t>precedents</w:t>
      </w:r>
      <w:r>
        <w:rPr>
          <w:b w:val="0"/>
          <w:i w:val="0"/>
          <w:smallCaps w:val="0"/>
          <w:strike w:val="0"/>
          <w:sz w:val="16"/>
          <w:u w:val="none"/>
        </w:rPr>
        <w:t xml:space="preserve"> </w:t>
      </w:r>
      <w:r>
        <w:rPr>
          <w:b w:val="0"/>
          <w:i w:val="0"/>
          <w:smallCaps w:val="0"/>
          <w:strike w:val="0"/>
          <w:sz w:val="20"/>
          <w:u w:val="single"/>
        </w:rPr>
        <w:t>have distinguished between ‘public rights’ and ‘private rights.’</w:t>
      </w:r>
      <w:r>
        <w:rPr>
          <w:b w:val="0"/>
          <w:i w:val="0"/>
          <w:smallCaps w:val="0"/>
          <w:strike w:val="0"/>
          <w:sz w:val="16"/>
          <w:u w:val="none"/>
        </w:rPr>
        <w:t xml:space="preserve">”25 He found that the </w:t>
      </w:r>
      <w:r>
        <w:rPr>
          <w:b w:val="0"/>
          <w:i w:val="0"/>
          <w:smallCaps w:val="0"/>
          <w:strike w:val="0"/>
          <w:sz w:val="20"/>
          <w:u w:val="single"/>
        </w:rPr>
        <w:t>inter partes review of patents</w:t>
      </w:r>
      <w:r>
        <w:rPr>
          <w:b w:val="0"/>
          <w:i w:val="0"/>
          <w:smallCaps w:val="0"/>
          <w:strike w:val="0"/>
          <w:sz w:val="16"/>
          <w:u w:val="none"/>
        </w:rPr>
        <w:t xml:space="preserve"> at issue in that case “</w:t>
      </w:r>
      <w:r>
        <w:rPr>
          <w:b w:val="0"/>
          <w:i w:val="0"/>
          <w:smallCaps w:val="0"/>
          <w:strike w:val="0"/>
          <w:sz w:val="20"/>
          <w:u w:val="single"/>
        </w:rPr>
        <w:t xml:space="preserve">falls </w:t>
      </w:r>
      <w:r>
        <w:rPr>
          <w:b w:val="0"/>
          <w:i w:val="0"/>
          <w:smallCaps w:val="0"/>
          <w:strike w:val="0"/>
          <w:sz w:val="20"/>
          <w:u w:val="single"/>
        </w:rPr>
        <w:t>squarely</w:t>
      </w:r>
      <w:r>
        <w:rPr>
          <w:b w:val="0"/>
          <w:i w:val="0"/>
          <w:smallCaps w:val="0"/>
          <w:strike w:val="0"/>
          <w:sz w:val="20"/>
          <w:u w:val="single"/>
        </w:rPr>
        <w:t xml:space="preserve"> within the </w:t>
      </w:r>
      <w:r>
        <w:rPr>
          <w:b w:val="0"/>
          <w:i w:val="0"/>
          <w:smallCaps w:val="0"/>
          <w:strike w:val="0"/>
          <w:sz w:val="20"/>
          <w:u w:val="single"/>
        </w:rPr>
        <w:t>public</w:t>
      </w:r>
      <w:r>
        <w:rPr>
          <w:b w:val="0"/>
          <w:i w:val="0"/>
          <w:smallCaps w:val="0"/>
          <w:strike w:val="0"/>
          <w:sz w:val="20"/>
          <w:u w:val="single"/>
        </w:rPr>
        <w:t>-</w:t>
      </w:r>
      <w:r>
        <w:rPr>
          <w:b w:val="0"/>
          <w:i w:val="0"/>
          <w:smallCaps w:val="0"/>
          <w:strike w:val="0"/>
          <w:sz w:val="20"/>
          <w:u w:val="single"/>
        </w:rPr>
        <w:t>rights</w:t>
      </w:r>
      <w:r>
        <w:rPr>
          <w:b w:val="0"/>
          <w:i w:val="0"/>
          <w:smallCaps w:val="0"/>
          <w:strike w:val="0"/>
          <w:sz w:val="20"/>
          <w:u w:val="single"/>
        </w:rPr>
        <w:t xml:space="preserve"> doctrine</w:t>
      </w:r>
      <w:r>
        <w:rPr>
          <w:b w:val="0"/>
          <w:i w:val="0"/>
          <w:smallCaps w:val="0"/>
          <w:strike w:val="0"/>
          <w:sz w:val="16"/>
          <w:u w:val="none"/>
        </w:rPr>
        <w:t xml:space="preserve">.”26 Justice Breyer concurred, adding that in his view the </w:t>
      </w:r>
      <w:r>
        <w:rPr>
          <w:b w:val="0"/>
          <w:i w:val="0"/>
          <w:smallCaps w:val="0"/>
          <w:strike w:val="0"/>
          <w:sz w:val="20"/>
          <w:u w:val="single"/>
        </w:rPr>
        <w:t>Constitution</w:t>
      </w:r>
      <w:r>
        <w:rPr>
          <w:b w:val="0"/>
          <w:i w:val="0"/>
          <w:smallCaps w:val="0"/>
          <w:strike w:val="0"/>
          <w:sz w:val="16"/>
          <w:u w:val="none"/>
        </w:rPr>
        <w:t xml:space="preserve"> </w:t>
      </w:r>
      <w:r>
        <w:rPr>
          <w:b w:val="0"/>
          <w:i w:val="0"/>
          <w:smallCaps w:val="0"/>
          <w:strike w:val="0"/>
          <w:sz w:val="20"/>
          <w:u w:val="single"/>
        </w:rPr>
        <w:t xml:space="preserve">makes the </w:t>
      </w:r>
      <w:r>
        <w:rPr>
          <w:b w:val="0"/>
          <w:i w:val="0"/>
          <w:smallCaps w:val="0"/>
          <w:strike w:val="0"/>
          <w:sz w:val="20"/>
          <w:u w:val="single"/>
        </w:rPr>
        <w:t>presence</w:t>
      </w:r>
      <w:r>
        <w:rPr>
          <w:b w:val="0"/>
          <w:i w:val="0"/>
          <w:smallCaps w:val="0"/>
          <w:strike w:val="0"/>
          <w:sz w:val="20"/>
          <w:u w:val="single"/>
        </w:rPr>
        <w:t xml:space="preserve"> of a public right</w:t>
      </w:r>
      <w:r>
        <w:rPr>
          <w:b w:val="0"/>
          <w:i w:val="0"/>
          <w:smallCaps w:val="0"/>
          <w:strike w:val="0"/>
          <w:sz w:val="16"/>
          <w:u w:val="none"/>
        </w:rPr>
        <w:t xml:space="preserve"> a </w:t>
      </w:r>
      <w:r>
        <w:rPr>
          <w:b w:val="0"/>
          <w:i w:val="0"/>
          <w:smallCaps w:val="0"/>
          <w:strike w:val="0"/>
          <w:sz w:val="20"/>
          <w:u w:val="single"/>
        </w:rPr>
        <w:t>sufficient</w:t>
      </w:r>
      <w:r>
        <w:rPr>
          <w:b w:val="0"/>
          <w:i w:val="0"/>
          <w:smallCaps w:val="0"/>
          <w:strike w:val="0"/>
          <w:sz w:val="16"/>
          <w:u w:val="none"/>
        </w:rPr>
        <w:t xml:space="preserve"> </w:t>
      </w:r>
      <w:r>
        <w:rPr>
          <w:b w:val="0"/>
          <w:i w:val="0"/>
          <w:smallCaps w:val="0"/>
          <w:strike w:val="0"/>
          <w:sz w:val="20"/>
          <w:u w:val="single"/>
        </w:rPr>
        <w:t xml:space="preserve">but </w:t>
      </w:r>
      <w:r>
        <w:rPr>
          <w:b w:val="0"/>
          <w:i w:val="0"/>
          <w:smallCaps w:val="0"/>
          <w:strike w:val="0"/>
          <w:sz w:val="20"/>
          <w:u w:val="single"/>
        </w:rPr>
        <w:t>not necessar</w:t>
      </w:r>
      <w:r>
        <w:rPr>
          <w:b w:val="0"/>
          <w:i w:val="0"/>
          <w:smallCaps w:val="0"/>
          <w:strike w:val="0"/>
          <w:sz w:val="20"/>
          <w:u w:val="single"/>
        </w:rPr>
        <w:t xml:space="preserve">y condition for </w:t>
      </w:r>
      <w:r>
        <w:rPr>
          <w:b w:val="0"/>
          <w:i w:val="0"/>
          <w:smallCaps w:val="0"/>
          <w:strike w:val="0"/>
          <w:sz w:val="20"/>
          <w:u w:val="single"/>
        </w:rPr>
        <w:t>agency adjudication that</w:t>
      </w:r>
      <w:r>
        <w:rPr>
          <w:b w:val="0"/>
          <w:i w:val="0"/>
          <w:smallCaps w:val="0"/>
          <w:strike w:val="0"/>
          <w:sz w:val="20"/>
          <w:u w:val="single"/>
        </w:rPr>
        <w:t xml:space="preserve"> is </w:t>
      </w:r>
      <w:r>
        <w:rPr>
          <w:b w:val="0"/>
          <w:i w:val="0"/>
          <w:smallCaps w:val="0"/>
          <w:strike w:val="0"/>
          <w:sz w:val="20"/>
          <w:u w:val="single"/>
        </w:rPr>
        <w:t>subject</w:t>
      </w:r>
      <w:r>
        <w:rPr>
          <w:b w:val="0"/>
          <w:i w:val="0"/>
          <w:smallCaps w:val="0"/>
          <w:strike w:val="0"/>
          <w:sz w:val="20"/>
          <w:u w:val="single"/>
        </w:rPr>
        <w:t xml:space="preserve"> to only </w:t>
      </w:r>
      <w:r>
        <w:rPr>
          <w:b w:val="0"/>
          <w:i w:val="0"/>
          <w:smallCaps w:val="0"/>
          <w:strike w:val="0"/>
          <w:sz w:val="20"/>
          <w:u w:val="single"/>
        </w:rPr>
        <w:t>limited judicial</w:t>
      </w:r>
      <w:r>
        <w:rPr>
          <w:b w:val="0"/>
          <w:i w:val="0"/>
          <w:smallCaps w:val="0"/>
          <w:strike w:val="0"/>
          <w:sz w:val="20"/>
          <w:u w:val="single"/>
        </w:rPr>
        <w:t xml:space="preserve"> </w:t>
      </w:r>
      <w:r>
        <w:rPr>
          <w:b w:val="0"/>
          <w:i w:val="0"/>
          <w:smallCaps w:val="0"/>
          <w:strike w:val="0"/>
          <w:sz w:val="20"/>
          <w:u w:val="single"/>
        </w:rPr>
        <w:t>review</w:t>
      </w:r>
      <w:r>
        <w:rPr>
          <w:b w:val="0"/>
          <w:i w:val="0"/>
          <w:smallCaps w:val="0"/>
          <w:strike w:val="0"/>
          <w:sz w:val="16"/>
          <w:u w:val="none"/>
        </w:rPr>
        <w:t>.27 Justice Gorsuch dissented: he rejected the argument that patents are “a species of public franchises” and therefore subject to cancellation by the executive.28 Public franchises are one of the categories of public as opposed to private rights that Professor Nelson finds in nineteenth century practice.29</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