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2026–27 NFA-LD Nationalization</w:t>
      </w:r>
    </w:p>
    <w:p>
      <w:pPr>
        <w:spacing w:after="240"/>
        <w:pBdr>
          <w:bottom w:val="single" w:sz="8" w:space="8" w:color="2E74B5"/>
        </w:pBdr>
      </w:pPr>
      <w:r>
        <w:rPr>
          <w:rFonts w:ascii="Calibri" w:hAnsi="Calibri"/>
          <w:i/>
          <w:color w:val="656D78"/>
          <w:sz w:val="24"/>
        </w:rPr>
        <w:t>Season strategy briefing and advocate-grounded case list</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pPr>
        <w:pStyle w:val="Heading1"/>
      </w:pPr>
      <w:r>
        <w:t>Affirmative case map</w:t>
      </w:r>
    </w:p>
    <w:p>
      <w:pPr>
        <w:pStyle w:val="Heading2"/>
      </w:pPr>
      <w:r>
        <w:t>AFF 1 — Green TVA Public Power</w:t>
      </w:r>
    </w:p>
    <w:p>
      <w:r>
        <w:rPr>
          <w:rFonts w:ascii="Calibri" w:hAnsi="Calibri"/>
          <w:b/>
          <w:color w:val="1F3A5F"/>
          <w:sz w:val="22"/>
        </w:rPr>
        <w:t xml:space="preserve">Plan: </w:t>
      </w:r>
      <w:r>
        <w:rPr>
          <w:rFonts w:ascii="Calibri" w:hAnsi="Calibri"/>
          <w:color w:val="181D23"/>
          <w:sz w:val="22"/>
        </w:rPr>
        <w:t>The United States federal government will establish a fifth federal Power Marketing Administration and authorize the Tennessee Valley Authority, the Bureau of Reclamation, the four existing Power Marketing Administrations, and the new administration to build, own, and operate $1.52 trillion in renewable electric generation, $852 billion in energy storage, and a $526 billion modern high-voltage direct-current transmission and distribution grid. Those federal entities will wholesale the resulting electricity with a preference for public power districts and municipal and cooperative utilities.</w:t>
      </w:r>
    </w:p>
    <w:p>
      <w:r>
        <w:rPr>
          <w:rFonts w:ascii="Calibri" w:hAnsi="Calibri"/>
          <w:b/>
          <w:color w:val="1F3A5F"/>
          <w:sz w:val="22"/>
        </w:rPr>
        <w:t xml:space="preserve">Advocate: </w:t>
      </w:r>
      <w:r>
        <w:rPr>
          <w:rFonts w:ascii="Calibri" w:hAnsi="Calibri"/>
          <w:color w:val="181D23"/>
          <w:sz w:val="22"/>
        </w:rPr>
        <w:t>Bernie Sanders's 2019 Green New Deal supplied the ownership institutions, investment amounts, wholesale model, and preference for democratic public/cooperative distribution. The case treats that proposal as the solvency advocate rather than inventing a generic federal utility.</w:t>
      </w:r>
    </w:p>
    <w:p>
      <w:pPr>
        <w:pStyle w:val="ListBullet"/>
        <w:spacing w:after="80" w:line="300" w:lineRule="auto"/>
        <w:ind w:left="540" w:hanging="271"/>
      </w:pPr>
      <w:r>
        <w:rPr>
          <w:rFonts w:ascii="Calibri" w:hAnsi="Calibri"/>
          <w:color w:val="181D23"/>
          <w:sz w:val="22"/>
        </w:rPr>
        <w:t>Advantage 1 — Decarbonization at public scale: Fragmented private investment cannot coordinate generation, storage, and long-distance transmission at the required scale. Federal ownership aligns all three assets and recycles wholesale revenue into the transition.</w:t>
      </w:r>
    </w:p>
    <w:p>
      <w:pPr>
        <w:pStyle w:val="ListBullet"/>
        <w:spacing w:after="80" w:line="300" w:lineRule="auto"/>
        <w:ind w:left="540" w:hanging="271"/>
      </w:pPr>
      <w:r>
        <w:rPr>
          <w:rFonts w:ascii="Calibri" w:hAnsi="Calibri"/>
          <w:color w:val="181D23"/>
          <w:sz w:val="22"/>
        </w:rPr>
        <w:t>Advantage 2 — Reliability and democratic affordability: The federal system expands a proven public-power baseline. Public and municipal systems remove shareholder extraction, can plan for resilience, and give public/cooperative distributors preferred access to federal power.</w:t>
      </w:r>
    </w:p>
    <w:p>
      <w:pPr>
        <w:pStyle w:val="Heading2"/>
      </w:pPr>
      <w:r>
        <w:t>AFF 2 — Medicare for All</w:t>
      </w:r>
    </w:p>
    <w:p>
      <w:r>
        <w:rPr>
          <w:rFonts w:ascii="Calibri" w:hAnsi="Calibri"/>
          <w:b/>
          <w:color w:val="1F3A5F"/>
          <w:sz w:val="22"/>
        </w:rPr>
        <w:t xml:space="preserve">Plan: </w:t>
      </w:r>
      <w:r>
        <w:rPr>
          <w:rFonts w:ascii="Calibri" w:hAnsi="Calibri"/>
          <w:color w:val="181D23"/>
          <w:sz w:val="22"/>
        </w:rPr>
        <w:t>The United States federal government will enact H.R. 3069, the Medicare for All Act of the 119th Congress. The Department of Health and Human Services will establish the national Medicare for All health-insurance program, automatically enroll U.S. residents, begin first-year coverage for people under 19 and age 55 or older, complete the transition after two years, provide the bill's comprehensive benefits without premiums or point-of-service cost sharing, and prohibit private insurance that duplicates program benefits.</w:t>
      </w:r>
    </w:p>
    <w:p>
      <w:r>
        <w:rPr>
          <w:rFonts w:ascii="Calibri" w:hAnsi="Calibri"/>
          <w:b/>
          <w:color w:val="1F3A5F"/>
          <w:sz w:val="22"/>
        </w:rPr>
        <w:t xml:space="preserve">Advocate: </w:t>
      </w:r>
      <w:r>
        <w:rPr>
          <w:rFonts w:ascii="Calibri" w:hAnsi="Calibri"/>
          <w:color w:val="181D23"/>
          <w:sz w:val="22"/>
        </w:rPr>
        <w:t>Representative Pramila Jayapal and the cosponsors of H.R. 3069 provide a complete legislative solvency advocate, including eligibility, enrollment, benefits, financing architecture, provider participation, and transition rules.</w:t>
      </w:r>
    </w:p>
    <w:p>
      <w:pPr>
        <w:pStyle w:val="ListBullet"/>
        <w:spacing w:after="80" w:line="300" w:lineRule="auto"/>
        <w:ind w:left="540" w:hanging="271"/>
      </w:pPr>
      <w:r>
        <w:rPr>
          <w:rFonts w:ascii="Calibri" w:hAnsi="Calibri"/>
          <w:color w:val="181D23"/>
          <w:sz w:val="22"/>
        </w:rPr>
        <w:t>Advantage 1 — Universal access: A single federal insurer makes residence—not employment, income, age, or medical history—the basis of coverage and eliminates point-of-service financial barriers.</w:t>
      </w:r>
    </w:p>
    <w:p>
      <w:pPr>
        <w:pStyle w:val="ListBullet"/>
        <w:spacing w:after="80" w:line="300" w:lineRule="auto"/>
        <w:ind w:left="540" w:hanging="271"/>
      </w:pPr>
      <w:r>
        <w:rPr>
          <w:rFonts w:ascii="Calibri" w:hAnsi="Calibri"/>
          <w:color w:val="181D23"/>
          <w:sz w:val="22"/>
        </w:rPr>
        <w:t>Advantage 2 — Administrative simplification: One public payer consolidates billing and removes duplicative insurer administration and profit, freeing resources while increasing coverage and utilization.</w:t>
      </w:r>
    </w:p>
    <w:p>
      <w:pPr>
        <w:pStyle w:val="Heading2"/>
      </w:pPr>
      <w:r>
        <w:t>AFF 3 — Medicare-X Public Option</w:t>
      </w:r>
    </w:p>
    <w:p>
      <w:r>
        <w:rPr>
          <w:rFonts w:ascii="Calibri" w:hAnsi="Calibri"/>
          <w:b/>
          <w:color w:val="1F3A5F"/>
          <w:sz w:val="22"/>
        </w:rPr>
        <w:t xml:space="preserve">Plan: </w:t>
      </w:r>
      <w:r>
        <w:rPr>
          <w:rFonts w:ascii="Calibri" w:hAnsi="Calibri"/>
          <w:color w:val="181D23"/>
          <w:sz w:val="22"/>
        </w:rPr>
        <w:t>The United States federal government will enact S. 3369, the Medicare-X Choice Act of 2025. Beginning with plan year 2028, the Secretary of Health and Human Services, acting through the Centers for Medicare &amp; Medicaid Services, will offer the Medicare Exchange Health Plan in silver and gold levels through every Affordable Care Act Exchange; set actuarially sufficient premiums; reimburse at Medicare rates with authority for rural increases up to 50 percent; negotiate prescription-drug prices; require Medicare and Medicaid providers to participate subject to the bill's exceptional-circumstances opt-out; create the bill's nationwide high-cost reinsurance pool; and expand premium tax credits as specified by the Act.</w:t>
      </w:r>
    </w:p>
    <w:p>
      <w:r>
        <w:rPr>
          <w:rFonts w:ascii="Calibri" w:hAnsi="Calibri"/>
          <w:b/>
          <w:color w:val="1F3A5F"/>
          <w:sz w:val="22"/>
        </w:rPr>
        <w:t xml:space="preserve">Advocate: </w:t>
      </w:r>
      <w:r>
        <w:rPr>
          <w:rFonts w:ascii="Calibri" w:hAnsi="Calibri"/>
          <w:color w:val="181D23"/>
          <w:sz w:val="22"/>
        </w:rPr>
        <w:t>Senators Michael Bennet and Tim Kaine's S. 3369 is the solvency advocate. Its precise premium, provider-rate, network, drug-negotiation, reinsurance, and tax-credit provisions prevent the case from becoming a vague 'public option.'</w:t>
      </w:r>
    </w:p>
    <w:p>
      <w:pPr>
        <w:pStyle w:val="ListBullet"/>
        <w:spacing w:after="80" w:line="300" w:lineRule="auto"/>
        <w:ind w:left="540" w:hanging="271"/>
      </w:pPr>
      <w:r>
        <w:rPr>
          <w:rFonts w:ascii="Calibri" w:hAnsi="Calibri"/>
          <w:color w:val="181D23"/>
          <w:sz w:val="22"/>
        </w:rPr>
        <w:t>Advantage 1 — Competition and affordability: A federal entrant using Medicare purchasing power provides a durable benchmark in concentrated exchanges and lowers claims costs through provider and drug prices.</w:t>
      </w:r>
    </w:p>
    <w:p>
      <w:pPr>
        <w:pStyle w:val="ListBullet"/>
        <w:spacing w:after="80" w:line="300" w:lineRule="auto"/>
        <w:ind w:left="540" w:hanging="271"/>
      </w:pPr>
      <w:r>
        <w:rPr>
          <w:rFonts w:ascii="Calibri" w:hAnsi="Calibri"/>
          <w:color w:val="181D23"/>
          <w:sz w:val="22"/>
        </w:rPr>
        <w:t>Advantage 2 — Rural and underserved access: Nationwide provider participation, rural rate flexibility, reinsurance, and telehealth make the plan a coverage-and-network intervention rather than only a new insurance label.</w:t>
      </w:r>
    </w:p>
    <w:p>
      <w:pPr>
        <w:pStyle w:val="Heading2"/>
      </w:pPr>
      <w:r>
        <w:t>AFF 4 — Public Pharmaceutical Manufacturing</w:t>
      </w:r>
    </w:p>
    <w:p>
      <w:r>
        <w:rPr>
          <w:rFonts w:ascii="Calibri" w:hAnsi="Calibri"/>
          <w:b/>
          <w:color w:val="1F3A5F"/>
          <w:sz w:val="22"/>
        </w:rPr>
        <w:t xml:space="preserve">Plan: </w:t>
      </w:r>
      <w:r>
        <w:rPr>
          <w:rFonts w:ascii="Calibri" w:hAnsi="Calibri"/>
          <w:color w:val="181D23"/>
          <w:sz w:val="22"/>
        </w:rPr>
        <w:t>The United States federal government will enact H.R. 6607, the Affordable Drug Manufacturing Act of 2023. The Department of Health and Human Services will establish the Office of Drug Manufacturing; authorize it to manufacture directly or contract for generic drugs and active pharmaceutical ingredients when competition or supply is inadequate; acquire manufacturing and marketing rights; begin public generic-insulin production within one year; price products using manufacturing and administrative cost plus market-access considerations; and require minimum purchases by the Department of Veterans Affairs, Department of Defense, Public Health Service, and Coast Guard.</w:t>
      </w:r>
    </w:p>
    <w:p>
      <w:r>
        <w:rPr>
          <w:rFonts w:ascii="Calibri" w:hAnsi="Calibri"/>
          <w:b/>
          <w:color w:val="1F3A5F"/>
          <w:sz w:val="22"/>
        </w:rPr>
        <w:t xml:space="preserve">Advocate: </w:t>
      </w:r>
      <w:r>
        <w:rPr>
          <w:rFonts w:ascii="Calibri" w:hAnsi="Calibri"/>
          <w:color w:val="181D23"/>
          <w:sz w:val="22"/>
        </w:rPr>
        <w:t>Representative Jan Schakowsky and Senator Elizabeth Warren's Affordable Drug Manufacturing Act is the operative solvency model. Although introduced in the prior Congress, it is used as a detailed legislative proposal, not described as pending law.</w:t>
      </w:r>
    </w:p>
    <w:p>
      <w:pPr>
        <w:pStyle w:val="ListBullet"/>
        <w:spacing w:after="80" w:line="300" w:lineRule="auto"/>
        <w:ind w:left="540" w:hanging="271"/>
      </w:pPr>
      <w:r>
        <w:rPr>
          <w:rFonts w:ascii="Calibri" w:hAnsi="Calibri"/>
          <w:color w:val="181D23"/>
          <w:sz w:val="22"/>
        </w:rPr>
        <w:t>Advantage 1 — Drug shortage resilience: The Office can manufacture products and APIs the market underproduces, while federal purchase commitments create predictable demand for capacity and quality.</w:t>
      </w:r>
    </w:p>
    <w:p>
      <w:pPr>
        <w:pStyle w:val="ListBullet"/>
        <w:spacing w:after="80" w:line="300" w:lineRule="auto"/>
        <w:ind w:left="540" w:hanging="271"/>
      </w:pPr>
      <w:r>
        <w:rPr>
          <w:rFonts w:ascii="Calibri" w:hAnsi="Calibri"/>
          <w:color w:val="181D23"/>
          <w:sz w:val="22"/>
        </w:rPr>
        <w:t>Advantage 2 — Price and access: Cost-based public production supplies a competitive floor for insulin and essential generics and reduces dependence on monopoly pricing and fragile single-facility supply.</w:t>
      </w:r>
    </w:p>
    <w:p>
      <w:pPr>
        <w:pStyle w:val="Heading2"/>
      </w:pPr>
      <w:r>
        <w:t>AFF 5 — Public Arms Manufacturing</w:t>
      </w:r>
    </w:p>
    <w:p>
      <w:r>
        <w:rPr>
          <w:rFonts w:ascii="Calibri" w:hAnsi="Calibri"/>
          <w:b/>
          <w:color w:val="1F3A5F"/>
          <w:sz w:val="22"/>
        </w:rPr>
        <w:t xml:space="preserve">Plan: </w:t>
      </w:r>
      <w:r>
        <w:rPr>
          <w:rFonts w:ascii="Calibri" w:hAnsi="Calibri"/>
          <w:color w:val="181D23"/>
          <w:sz w:val="22"/>
        </w:rPr>
        <w:t>The United States federal government will acquire all outstanding equity of Lockheed Martin, RTX, Northrop Grumman, General Dynamics, and Boeing's Defense, Space &amp; Security business through a Treasury-bond exchange at a congressionally determined fair valuation, then charter the acquired firms as federally owned, nonprofit public corporations. Their statutory mission will prioritize strategic necessity, reliability, life-cycle cost, testing, and public accountability rather than shareholder return; Congress will prohibit corporate campaign contributions and private lobbying by the new entities.</w:t>
      </w:r>
    </w:p>
    <w:p>
      <w:r>
        <w:rPr>
          <w:rFonts w:ascii="Calibri" w:hAnsi="Calibri"/>
          <w:b/>
          <w:color w:val="1F3A5F"/>
          <w:sz w:val="22"/>
        </w:rPr>
        <w:t xml:space="preserve">Advocate: </w:t>
      </w:r>
      <w:r>
        <w:rPr>
          <w:rFonts w:ascii="Calibri" w:hAnsi="Calibri"/>
          <w:color w:val="181D23"/>
          <w:sz w:val="22"/>
        </w:rPr>
        <w:t>Julia Gledhill's 2025 Stimson Center proposal advocates full nationalization by buying out shareholders, replacing their stock with Treasury bonds, and reconstituting defense firms as public nonprofit corporations. The five covered primes are the leading U.S. firms by 2024 defense revenue; the plan makes the acquisition set administrable rather than saying 'major contractors.'</w:t>
      </w:r>
    </w:p>
    <w:p>
      <w:pPr>
        <w:pStyle w:val="ListBullet"/>
        <w:spacing w:after="80" w:line="300" w:lineRule="auto"/>
        <w:ind w:left="540" w:hanging="271"/>
      </w:pPr>
      <w:r>
        <w:rPr>
          <w:rFonts w:ascii="Calibri" w:hAnsi="Calibri"/>
          <w:color w:val="181D23"/>
          <w:sz w:val="22"/>
        </w:rPr>
        <w:t>Advantage 1 — Acquisition performance: Removing quarterly-profit incentives allows earlier testing, longer competition, modular design, and life-cycle-cost decisions that private incumbents resist.</w:t>
      </w:r>
    </w:p>
    <w:p>
      <w:pPr>
        <w:pStyle w:val="ListBullet"/>
        <w:spacing w:after="80" w:line="300" w:lineRule="auto"/>
        <w:ind w:left="540" w:hanging="271"/>
      </w:pPr>
      <w:r>
        <w:rPr>
          <w:rFonts w:ascii="Calibri" w:hAnsi="Calibri"/>
          <w:color w:val="181D23"/>
          <w:sz w:val="22"/>
        </w:rPr>
        <w:t>Advantage 2 — Democratic foreign policy: Public nonprofit status removes the corporate incentive to lobby for larger procurement and arms exports and permits production capacity to follow strategy instead of sales growth.</w:t>
      </w:r>
    </w:p>
    <w:p>
      <w:pPr>
        <w:pStyle w:val="Heading1"/>
      </w:pPr>
      <w:r>
        <w:t>Negative map</w:t>
      </w:r>
    </w:p>
    <w:p>
      <w:pPr>
        <w:pStyle w:val="Heading2"/>
      </w:pPr>
      <w:r>
        <w:t>Topicality and framework</w:t>
      </w:r>
    </w:p>
    <w:p>
      <w:pPr>
        <w:pStyle w:val="ListBullet"/>
        <w:spacing w:after="80" w:line="300" w:lineRule="auto"/>
        <w:ind w:left="540" w:hanging="271"/>
      </w:pPr>
      <w:r>
        <w:rPr>
          <w:rFonts w:ascii="Calibri" w:hAnsi="Calibri"/>
          <w:color w:val="181D23"/>
          <w:sz w:val="22"/>
        </w:rPr>
        <w:t>T—Public ownership: require an increase in the federal government's ownership interest or residual control, not regulation, subsidies, contracts, licensing, or a government-created private competitor.</w:t>
      </w:r>
    </w:p>
    <w:p>
      <w:pPr>
        <w:pStyle w:val="ListBullet"/>
        <w:spacing w:after="80" w:line="300" w:lineRule="auto"/>
        <w:ind w:left="540" w:hanging="271"/>
      </w:pPr>
      <w:r>
        <w:rPr>
          <w:rFonts w:ascii="Calibri" w:hAnsi="Calibri"/>
          <w:color w:val="181D23"/>
          <w:sz w:val="22"/>
        </w:rPr>
        <w:t>T—Substantially: require a material, durable change in ownership across a meaningful part of the selected industry; pilot plants and a single small facility are effects-topical.</w:t>
      </w:r>
    </w:p>
    <w:p>
      <w:pPr>
        <w:pStyle w:val="ListBullet"/>
        <w:spacing w:after="80" w:line="300" w:lineRule="auto"/>
        <w:ind w:left="540" w:hanging="271"/>
      </w:pPr>
      <w:r>
        <w:rPr>
          <w:rFonts w:ascii="Calibri" w:hAnsi="Calibri"/>
          <w:color w:val="181D23"/>
          <w:sz w:val="22"/>
        </w:rPr>
        <w:t>T—Industry: use NAICS/EIA functional boundaries. The plan must own establishments engaged in electric utility, insurance, arms-manufacturing, or pharmaceutical production functions.</w:t>
      </w:r>
    </w:p>
    <w:p>
      <w:pPr>
        <w:pStyle w:val="ListBullet"/>
        <w:spacing w:after="80" w:line="300" w:lineRule="auto"/>
        <w:ind w:left="540" w:hanging="271"/>
      </w:pPr>
      <w:r>
        <w:rPr>
          <w:rFonts w:ascii="Calibri" w:hAnsi="Calibri"/>
          <w:color w:val="181D23"/>
          <w:sz w:val="22"/>
        </w:rPr>
        <w:t>Framework: compare institutional consequences of the plan. Presumption and solvency deficits matter because ownership transitions create unique, durable governance commitments.</w:t>
      </w:r>
    </w:p>
    <w:p>
      <w:pPr>
        <w:pStyle w:val="Heading2"/>
      </w:pPr>
      <w:r>
        <w:t>Generic disadvantages</w:t>
      </w:r>
    </w:p>
    <w:p>
      <w:pPr>
        <w:pStyle w:val="ListBullet"/>
        <w:spacing w:after="80" w:line="300" w:lineRule="auto"/>
        <w:ind w:left="540" w:hanging="271"/>
      </w:pPr>
      <w:r>
        <w:rPr>
          <w:rFonts w:ascii="Calibri" w:hAnsi="Calibri"/>
          <w:color w:val="181D23"/>
          <w:sz w:val="22"/>
        </w:rPr>
        <w:t>Acquisition/Fiscal DA: fair-value buyouts plus new capital spending increase federal borrowing; interest-rate and crowd-out links should be case-specific and net out displaced private spending.</w:t>
      </w:r>
    </w:p>
    <w:p>
      <w:pPr>
        <w:pStyle w:val="ListBullet"/>
        <w:spacing w:after="80" w:line="300" w:lineRule="auto"/>
        <w:ind w:left="540" w:hanging="271"/>
      </w:pPr>
      <w:r>
        <w:rPr>
          <w:rFonts w:ascii="Calibri" w:hAnsi="Calibri"/>
          <w:color w:val="181D23"/>
          <w:sz w:val="22"/>
        </w:rPr>
        <w:t>Transition Shock DA: rapid ownership conversion interrupts contracting, networks, claims administration, or supply chains before public governance stabilizes.</w:t>
      </w:r>
    </w:p>
    <w:p>
      <w:pPr>
        <w:pStyle w:val="ListBullet"/>
        <w:spacing w:after="80" w:line="300" w:lineRule="auto"/>
        <w:ind w:left="540" w:hanging="271"/>
      </w:pPr>
      <w:r>
        <w:rPr>
          <w:rFonts w:ascii="Calibri" w:hAnsi="Calibri"/>
          <w:color w:val="181D23"/>
          <w:sz w:val="22"/>
        </w:rPr>
        <w:t>Innovation DA: political budgeting and weak residual incentives reduce risky R&amp;D; strongest against arms and novel pharmaceuticals, weakest against mature generics and regulated network utilities.</w:t>
      </w:r>
    </w:p>
    <w:p>
      <w:pPr>
        <w:pStyle w:val="ListBullet"/>
        <w:spacing w:after="80" w:line="300" w:lineRule="auto"/>
        <w:ind w:left="540" w:hanging="271"/>
      </w:pPr>
      <w:r>
        <w:rPr>
          <w:rFonts w:ascii="Calibri" w:hAnsi="Calibri"/>
          <w:color w:val="181D23"/>
          <w:sz w:val="22"/>
        </w:rPr>
        <w:t>Public-Choice/State-Capture DA: ownership shifts lobbying inside the state rather than eliminating it; managers, unions, regions, and legislators can turn firms into distributive projects.</w:t>
      </w:r>
    </w:p>
    <w:p>
      <w:pPr>
        <w:pStyle w:val="ListBullet"/>
        <w:spacing w:after="80" w:line="300" w:lineRule="auto"/>
        <w:ind w:left="540" w:hanging="271"/>
      </w:pPr>
      <w:r>
        <w:rPr>
          <w:rFonts w:ascii="Calibri" w:hAnsi="Calibri"/>
          <w:color w:val="181D23"/>
          <w:sz w:val="22"/>
        </w:rPr>
        <w:t>Politics DA: large nationalization proposals polarize Congress and consume agenda capacity. Update uniqueness and link evidence immediately before tournaments.</w:t>
      </w:r>
    </w:p>
    <w:p>
      <w:pPr>
        <w:pStyle w:val="Heading2"/>
      </w:pPr>
      <w:r>
        <w:t>Generic counterplans</w:t>
      </w:r>
    </w:p>
    <w:p>
      <w:pPr>
        <w:pStyle w:val="ListBullet"/>
        <w:spacing w:after="80" w:line="300" w:lineRule="auto"/>
        <w:ind w:left="540" w:hanging="271"/>
      </w:pPr>
      <w:r>
        <w:rPr>
          <w:rFonts w:ascii="Calibri" w:hAnsi="Calibri"/>
          <w:color w:val="181D23"/>
          <w:sz w:val="22"/>
        </w:rPr>
        <w:t>Partial-ownership CP: acquire a blocking or controlling minority stake plus golden-share vetoes over sale, offshoring, and mission changes.</w:t>
      </w:r>
    </w:p>
    <w:p>
      <w:pPr>
        <w:pStyle w:val="ListBullet"/>
        <w:spacing w:after="80" w:line="300" w:lineRule="auto"/>
        <w:ind w:left="540" w:hanging="271"/>
      </w:pPr>
      <w:r>
        <w:rPr>
          <w:rFonts w:ascii="Calibri" w:hAnsi="Calibri"/>
          <w:color w:val="181D23"/>
          <w:sz w:val="22"/>
        </w:rPr>
        <w:t>Regulate-and-procure CP: use price regulation, open contracting, antitrust, compulsory licensing, reliability standards, and long-term procurement without federal ownership.</w:t>
      </w:r>
    </w:p>
    <w:p>
      <w:pPr>
        <w:pStyle w:val="ListBullet"/>
        <w:spacing w:after="80" w:line="300" w:lineRule="auto"/>
        <w:ind w:left="540" w:hanging="271"/>
      </w:pPr>
      <w:r>
        <w:rPr>
          <w:rFonts w:ascii="Calibri" w:hAnsi="Calibri"/>
          <w:color w:val="181D23"/>
          <w:sz w:val="22"/>
        </w:rPr>
        <w:t>Public-option CP: create a federal entrant without displacing private ownership. Particularly strong against Medicare for All and full-firm acquisition cases.</w:t>
      </w:r>
    </w:p>
    <w:p>
      <w:pPr>
        <w:pStyle w:val="ListBullet"/>
        <w:spacing w:after="80" w:line="300" w:lineRule="auto"/>
        <w:ind w:left="540" w:hanging="271"/>
      </w:pPr>
      <w:r>
        <w:rPr>
          <w:rFonts w:ascii="Calibri" w:hAnsi="Calibri"/>
          <w:color w:val="181D23"/>
          <w:sz w:val="22"/>
        </w:rPr>
        <w:t>States/municipalities CP: state public options, municipalization, state drug manufacturing, or regional public-power authorities preserve experimentation and federalism.</w:t>
      </w:r>
    </w:p>
    <w:p>
      <w:pPr>
        <w:pStyle w:val="ListBullet"/>
        <w:spacing w:after="80" w:line="300" w:lineRule="auto"/>
        <w:ind w:left="540" w:hanging="271"/>
      </w:pPr>
      <w:r>
        <w:rPr>
          <w:rFonts w:ascii="Calibri" w:hAnsi="Calibri"/>
          <w:color w:val="181D23"/>
          <w:sz w:val="22"/>
        </w:rPr>
        <w:t>GOCO CP: government owns facilities and critical intellectual property while competitively contracting private operation; best against arms and pharmaceutical cases.</w:t>
      </w:r>
    </w:p>
    <w:p>
      <w:pPr>
        <w:pStyle w:val="Heading2"/>
      </w:pPr>
      <w:r>
        <w:t>Kritik ground</w:t>
      </w:r>
    </w:p>
    <w:p>
      <w:pPr>
        <w:pStyle w:val="ListBullet"/>
        <w:spacing w:after="80" w:line="300" w:lineRule="auto"/>
        <w:ind w:left="540" w:hanging="271"/>
      </w:pPr>
      <w:r>
        <w:rPr>
          <w:rFonts w:ascii="Calibri" w:hAnsi="Calibri"/>
          <w:color w:val="181D23"/>
          <w:sz w:val="22"/>
        </w:rPr>
        <w:t>State Capitalism K: changing the owner does not change commodity production, wage relations, or accumulation; the plan socializes risk while preserving market discipline.</w:t>
      </w:r>
    </w:p>
    <w:p>
      <w:pPr>
        <w:pStyle w:val="ListBullet"/>
        <w:spacing w:after="80" w:line="300" w:lineRule="auto"/>
        <w:ind w:left="540" w:hanging="271"/>
      </w:pPr>
      <w:r>
        <w:rPr>
          <w:rFonts w:ascii="Calibri" w:hAnsi="Calibri"/>
          <w:color w:val="181D23"/>
          <w:sz w:val="22"/>
        </w:rPr>
        <w:t>Neoliberal Nationalization K: crisis nationalization can protect markets by moving losses to the public balance sheet, then reorganizing public firms around competition and austerity.</w:t>
      </w:r>
    </w:p>
    <w:p>
      <w:pPr>
        <w:pStyle w:val="ListBullet"/>
        <w:spacing w:after="80" w:line="300" w:lineRule="auto"/>
        <w:ind w:left="540" w:hanging="271"/>
      </w:pPr>
      <w:r>
        <w:rPr>
          <w:rFonts w:ascii="Calibri" w:hAnsi="Calibri"/>
          <w:color w:val="181D23"/>
          <w:sz w:val="22"/>
        </w:rPr>
        <w:t>Militarism/Security K: public arms ownership legitimizes permanent war capacity and makes militarism appear democratically clean; refuse the demand to optimize weapons production.</w:t>
      </w:r>
    </w:p>
    <w:p>
      <w:pPr>
        <w:pStyle w:val="ListBullet"/>
        <w:spacing w:after="80" w:line="300" w:lineRule="auto"/>
        <w:ind w:left="540" w:hanging="271"/>
      </w:pPr>
      <w:r>
        <w:rPr>
          <w:rFonts w:ascii="Calibri" w:hAnsi="Calibri"/>
          <w:color w:val="181D23"/>
          <w:sz w:val="22"/>
        </w:rPr>
        <w:t>Biopolitics K: insurance and pharmaceutical ownership can deepen state classification of worthy bodies and managerial control over care; center patient autonomy and mutual provision.</w:t>
      </w:r>
    </w:p>
    <w:p>
      <w:pPr>
        <w:pStyle w:val="ListBullet"/>
        <w:spacing w:after="80" w:line="300" w:lineRule="auto"/>
        <w:ind w:left="540" w:hanging="271"/>
      </w:pPr>
      <w:r>
        <w:rPr>
          <w:rFonts w:ascii="Calibri" w:hAnsi="Calibri"/>
          <w:color w:val="181D23"/>
          <w:sz w:val="22"/>
        </w:rPr>
        <w:t>Settler-Colonialism K: federal infrastructure ownership can expand extraction and transmission across Indigenous land; require consent, jurisdiction, and land return rather than federal mastery.</w:t>
      </w:r>
    </w:p>
    <w:p>
      <w:pPr>
        <w:pStyle w:val="Heading1"/>
      </w:pPr>
      <w:r>
        <w:t>Recommended tournament workflow</w:t>
      </w:r>
    </w:p>
    <w:p>
      <w:pPr>
        <w:pStyle w:val="ListBullet"/>
        <w:spacing w:after="80" w:line="300" w:lineRule="auto"/>
        <w:ind w:left="540" w:hanging="271"/>
      </w:pPr>
      <w:r>
        <w:rPr>
          <w:rFonts w:ascii="Calibri" w:hAnsi="Calibri"/>
          <w:color w:val="181D23"/>
          <w:sz w:val="22"/>
        </w:rPr>
        <w:t>Choose one ownership mechanism and defend its exact scope; do not mix plans across industries.</w:t>
      </w:r>
    </w:p>
    <w:p>
      <w:pPr>
        <w:pStyle w:val="ListBullet"/>
        <w:spacing w:after="80" w:line="300" w:lineRule="auto"/>
        <w:ind w:left="540" w:hanging="271"/>
      </w:pPr>
      <w:r>
        <w:rPr>
          <w:rFonts w:ascii="Calibri" w:hAnsi="Calibri"/>
          <w:color w:val="181D23"/>
          <w:sz w:val="22"/>
        </w:rPr>
        <w:t>Build the 1AC around two advantages with distinct terminal impacts and a shared solvency mechanism.</w:t>
      </w:r>
    </w:p>
    <w:p>
      <w:pPr>
        <w:pStyle w:val="ListBullet"/>
        <w:spacing w:after="80" w:line="300" w:lineRule="auto"/>
        <w:ind w:left="540" w:hanging="271"/>
      </w:pPr>
      <w:r>
        <w:rPr>
          <w:rFonts w:ascii="Calibri" w:hAnsi="Calibri"/>
          <w:color w:val="181D23"/>
          <w:sz w:val="22"/>
        </w:rPr>
        <w:t>Use the case-specific NEG file to select one counterplan, one disadvantage, and one solvency press that share a coherent theory.</w:t>
      </w:r>
    </w:p>
    <w:p>
      <w:pPr>
        <w:pStyle w:val="ListBullet"/>
        <w:spacing w:after="80" w:line="300" w:lineRule="auto"/>
        <w:ind w:left="540" w:hanging="271"/>
      </w:pPr>
      <w:r>
        <w:rPr>
          <w:rFonts w:ascii="Calibri" w:hAnsi="Calibri"/>
          <w:color w:val="181D23"/>
          <w:sz w:val="22"/>
        </w:rPr>
        <w:t>Update time-sensitive uniqueness immediately before a tournament and preserve the linked source plus full surrounding context.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2026–27 NFA-LD Nationalization Briefing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