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after="80"/>
      </w:pPr>
      <w:r>
        <w:rPr>
          <w:rFonts w:ascii="Calibri" w:hAnsi="Calibri"/>
          <w:b/>
          <w:color w:val="1F3A5F"/>
          <w:sz w:val="46"/>
        </w:rPr>
        <w:t>AFF 1 — Green TVA Public Power</w:t>
      </w:r>
    </w:p>
    <w:p>
      <w:pPr>
        <w:spacing w:after="240"/>
        <w:pBdr>
          <w:bottom w:val="single" w:sz="8" w:space="8" w:color="2E74B5"/>
        </w:pBdr>
      </w:pPr>
      <w:r>
        <w:rPr>
          <w:rFonts w:ascii="Calibri" w:hAnsi="Calibri"/>
          <w:i/>
          <w:color w:val="656D78"/>
          <w:sz w:val="24"/>
        </w:rPr>
        <w:t>Tournament 1AC | Electric utilities | Federal public-power buildout</w:t>
      </w:r>
    </w:p>
    <w:p>
      <w:r>
        <w:rPr>
          <w:rFonts w:ascii="Calibri" w:hAnsi="Calibri"/>
          <w:b/>
          <w:color w:val="1F3A5F"/>
          <w:sz w:val="22"/>
        </w:rPr>
        <w:t xml:space="preserve">Resolution: </w:t>
      </w:r>
      <w:r>
        <w:rPr>
          <w:rFonts w:ascii="Calibri" w:hAnsi="Calibri"/>
          <w:color w:val="181D23"/>
          <w:sz w:val="22"/>
        </w:rPr>
        <w:t>The United States federal government should substantially increase its public ownership of one or more of the following industries: electric utilities, health insurance, arms manufacturing, pharmaceuticals.</w:t>
      </w:r>
    </w:p>
    <w:p>
      <w:r>
        <w:rPr>
          <w:rFonts w:ascii="Calibri" w:hAnsi="Calibri"/>
          <w:b/>
          <w:color w:val="1F3A5F"/>
          <w:sz w:val="22"/>
        </w:rPr>
        <w:t xml:space="preserve">Framework: </w:t>
      </w:r>
      <w:r>
        <w:rPr>
          <w:rFonts w:ascii="Calibri" w:hAnsi="Calibri"/>
          <w:color w:val="181D23"/>
          <w:sz w:val="22"/>
        </w:rPr>
        <w:t>Value: intergenerational justice. Criterion: democratic provision of reliable, decarbonized essential infrastructure.</w:t>
      </w:r>
    </w:p>
    <w:p>
      <w:pPr>
        <w:pStyle w:val="Heading1"/>
      </w:pPr>
      <w:r>
        <w:t>Plan</w:t>
      </w:r>
    </w:p>
    <w:p>
      <w:r>
        <w:rPr>
          <w:rFonts w:ascii="Calibri" w:hAnsi="Calibri"/>
          <w:b/>
          <w:color w:val="1F3A5F"/>
          <w:sz w:val="22"/>
        </w:rPr>
        <w:t xml:space="preserve">Plan text: </w:t>
      </w:r>
      <w:r>
        <w:rPr>
          <w:rFonts w:ascii="Calibri" w:hAnsi="Calibri"/>
          <w:color w:val="181D23"/>
          <w:sz w:val="22"/>
        </w:rPr>
        <w:t>The United States federal government should establish a fifth federal Power Marketing Administration and substantially increase federal ownership of renewable electric generation, energy storage, and interstate transmission.</w:t>
      </w:r>
    </w:p>
    <w:p>
      <w:r>
        <w:t>The affirmative reserves normal means. All implementation mechanics below are solvency evidence and explanation, not additional plan mandates.</w:t>
      </w:r>
    </w:p>
    <w:p>
      <w:pPr>
        <w:pStyle w:val="Heading1"/>
      </w:pPr>
      <w:r>
        <w:t>1AC reading order</w:t>
      </w:r>
    </w:p>
    <w:p>
      <w:pPr>
        <w:pStyle w:val="ListBullet"/>
        <w:spacing w:after="80" w:line="300" w:lineRule="auto"/>
        <w:ind w:left="540" w:hanging="271"/>
      </w:pPr>
      <w:r>
        <w:rPr>
          <w:rFonts w:ascii="Calibri" w:hAnsi="Calibri"/>
          <w:color w:val="181D23"/>
          <w:sz w:val="22"/>
        </w:rPr>
        <w:t>Observation 1 — Inherency: fragmented private incentives underbuild regional transmission and durable clean capacity.</w:t>
      </w:r>
    </w:p>
    <w:p>
      <w:pPr>
        <w:pStyle w:val="ListBullet"/>
        <w:spacing w:after="80" w:line="300" w:lineRule="auto"/>
        <w:ind w:left="540" w:hanging="271"/>
      </w:pPr>
      <w:r>
        <w:rPr>
          <w:rFonts w:ascii="Calibri" w:hAnsi="Calibri"/>
          <w:color w:val="181D23"/>
          <w:sz w:val="22"/>
        </w:rPr>
        <w:t>Observation 2 — Solvency: a contemporary Green TVA advocate identifies federal public generation, storage, transmission, and a fifth PMA as one integrated mechanism.</w:t>
      </w:r>
    </w:p>
    <w:p>
      <w:pPr>
        <w:pStyle w:val="ListBullet"/>
        <w:spacing w:after="80" w:line="300" w:lineRule="auto"/>
        <w:ind w:left="540" w:hanging="271"/>
      </w:pPr>
      <w:r>
        <w:rPr>
          <w:rFonts w:ascii="Calibri" w:hAnsi="Calibri"/>
          <w:color w:val="181D23"/>
          <w:sz w:val="22"/>
        </w:rPr>
        <w:t>Advantage 1 — Reliability: interregional public transmission and storage diversify weather and load risk.</w:t>
      </w:r>
    </w:p>
    <w:p>
      <w:pPr>
        <w:pStyle w:val="ListBullet"/>
        <w:spacing w:after="80" w:line="300" w:lineRule="auto"/>
        <w:ind w:left="540" w:hanging="271"/>
      </w:pPr>
      <w:r>
        <w:rPr>
          <w:rFonts w:ascii="Calibri" w:hAnsi="Calibri"/>
          <w:color w:val="181D23"/>
          <w:sz w:val="22"/>
        </w:rPr>
        <w:t>Advantage 2 — Climate and health: public buildout accelerates clean electricity and displaces fossil generation pollution.</w:t>
      </w:r>
    </w:p>
    <w:p>
      <w:pPr>
        <w:pStyle w:val="Heading1"/>
      </w:pPr>
      <w:r>
        <w:t>Framework analytics</w:t>
      </w:r>
    </w:p>
    <w:p>
      <w:r>
        <w:rPr>
          <w:rFonts w:ascii="Calibri" w:hAnsi="Calibri"/>
          <w:b/>
          <w:color w:val="1F3A5F"/>
          <w:sz w:val="22"/>
        </w:rPr>
        <w:t xml:space="preserve">Interpretation: </w:t>
      </w:r>
      <w:r>
        <w:rPr>
          <w:rFonts w:ascii="Calibri" w:hAnsi="Calibri"/>
          <w:color w:val="181D23"/>
          <w:sz w:val="22"/>
        </w:rPr>
        <w:t>Public ownership means the federal government holds the residual ownership interest and operating control in generation, storage, and transmission assets. The case is therefore ownership-topical rather than a subsidy or regulation case.</w:t>
      </w:r>
    </w:p>
    <w:p>
      <w:r>
        <w:rPr>
          <w:rFonts w:ascii="Calibri" w:hAnsi="Calibri"/>
          <w:b/>
          <w:color w:val="1F3A5F"/>
          <w:sz w:val="22"/>
        </w:rPr>
        <w:t xml:space="preserve">Role of the ballot: </w:t>
      </w:r>
      <w:r>
        <w:rPr>
          <w:rFonts w:ascii="Calibri" w:hAnsi="Calibri"/>
          <w:color w:val="181D23"/>
          <w:sz w:val="22"/>
        </w:rPr>
        <w:t>Prefer the institution that best secures reliable electricity while reducing avoidable climate and health harms. Ownership is evaluated comparatively; the affirmative need not prove every private utility always fails.</w:t>
      </w:r>
    </w:p>
    <w:p>
      <w:pPr>
        <w:pStyle w:val="Heading1"/>
      </w:pPr>
      <w:r>
        <w:t>1AC evidence</w:t>
      </w:r>
    </w:p>
    <w:p>
      <w:pPr>
        <w:pStyle w:val="DebateTag"/>
      </w:pPr>
      <w:r>
        <w:t>The grid needs substantially more regional and interregional transmission by 2035.</w:t>
      </w:r>
    </w:p>
    <w:p>
      <w:pPr>
        <w:pStyle w:val="EvidenceCitation"/>
      </w:pPr>
      <w:r>
        <w:t>U.S. Department of Energy, National Transmission Needs Study, October 2023, https://www.energy.gov/sites/default/files/2023-10/National_Transmission_Needs_Study_2023.pdf</w:t>
      </w:r>
    </w:p>
    <w:p>
      <w:pPr>
        <w:keepNext/>
        <w:keepLines/>
        <w:spacing w:after="100"/>
      </w:pPr>
      <w:r>
        <w:rPr>
          <w:rFonts w:ascii="Calibri" w:hAnsi="Calibri"/>
          <w:color w:val="181D23"/>
          <w:sz w:val="21"/>
        </w:rPr>
        <w:t>DOE prepared the National Transmission Needs Study to identify where additional transfer capability would benefit reliability, resilience, and consumers as load and the generation mix change. The study compares multiple future conditions rather than assuming one forecast, and it evaluates both transmission within regions and connections between regions. Its estimates describe system needs and benefits; they do not assume that any single ownership model automatically delivers the required projects.</w:t>
      </w:r>
    </w:p>
    <w:p>
      <w:pPr>
        <w:keepNext/>
        <w:keepLines/>
        <w:spacing w:after="100"/>
      </w:pPr>
      <w:r>
        <w:rPr>
          <w:rFonts w:ascii="Calibri" w:hAnsi="Calibri"/>
          <w:b/>
          <w:color w:val="181D23"/>
          <w:sz w:val="21"/>
          <w:u w:val="single"/>
        </w:rPr>
        <w:t xml:space="preserve">DOE finds that the United States needs a large expansion of transmission to maintain reliability and unlock lower-cost generation as demand and the resource mix change. </w:t>
      </w:r>
      <w:r>
        <w:rPr>
          <w:rFonts w:ascii="Calibri" w:hAnsi="Calibri"/>
          <w:color w:val="181D23"/>
          <w:sz w:val="21"/>
        </w:rPr>
        <w:t>Across modeled futures, the median 2035 need for within-region transmission rises substantially.</w:t>
      </w:r>
    </w:p>
    <w:p>
      <w:pPr>
        <w:keepLines/>
        <w:spacing w:after="160"/>
      </w:pPr>
      <w:r>
        <w:rPr>
          <w:rFonts w:ascii="Calibri" w:hAnsi="Calibri"/>
          <w:color w:val="181D23"/>
          <w:sz w:val="21"/>
        </w:rPr>
        <w:t>Interregional need grows even faster in high-clean-energy futures. Larger transfer capability lets regions share diverse generation, respond to extreme events, and avoid relying only on local capacity during correlated stress.</w:t>
      </w:r>
    </w:p>
    <w:p>
      <w:pPr>
        <w:pStyle w:val="DebateTag"/>
      </w:pPr>
      <w:r>
        <w:t>Private project-by-project incentives cannot capture the systemwide value of a national grid.</w:t>
      </w:r>
    </w:p>
    <w:p>
      <w:pPr>
        <w:pStyle w:val="EvidenceCitation"/>
      </w:pPr>
      <w:r>
        <w:t>U.S. Department of Energy, National Transmission Needs Study, October 2023, https://www.energy.gov/sites/default/files/2023-10/National_Transmission_Needs_Study_2023.pdf</w:t>
      </w:r>
    </w:p>
    <w:p>
      <w:pPr>
        <w:keepNext/>
        <w:keepLines/>
        <w:spacing w:after="100"/>
      </w:pPr>
      <w:r>
        <w:rPr>
          <w:rFonts w:ascii="Calibri" w:hAnsi="Calibri"/>
          <w:color w:val="181D23"/>
          <w:sz w:val="21"/>
        </w:rPr>
        <w:t>DOE prepared the National Transmission Needs Study to identify where additional transfer capability would benefit reliability, resilience, and consumers as load and the generation mix change. The study compares multiple future conditions rather than assuming one forecast, and it evaluates both transmission within regions and connections between regions. Its estimates describe system needs and benefits; they do not assume that any single ownership model automatically delivers the required projects.</w:t>
      </w:r>
    </w:p>
    <w:p>
      <w:pPr>
        <w:keepNext/>
        <w:keepLines/>
        <w:spacing w:after="100"/>
      </w:pPr>
      <w:r>
        <w:rPr>
          <w:rFonts w:ascii="Calibri" w:hAnsi="Calibri"/>
          <w:b/>
          <w:color w:val="181D23"/>
          <w:sz w:val="21"/>
          <w:u w:val="single"/>
        </w:rPr>
        <w:t xml:space="preserve">DOE explains that transmission creates reliability, resilience, congestion, and generation-access benefits across multiple jurisdictions and time horizons. </w:t>
      </w:r>
      <w:r>
        <w:rPr>
          <w:rFonts w:ascii="Calibri" w:hAnsi="Calibri"/>
          <w:color w:val="181D23"/>
          <w:sz w:val="21"/>
        </w:rPr>
        <w:t>Those benefits do not map neatly onto a single developer or utility service territory.</w:t>
      </w:r>
    </w:p>
    <w:p>
      <w:pPr>
        <w:keepLines/>
        <w:spacing w:after="160"/>
      </w:pPr>
      <w:r>
        <w:rPr>
          <w:rFonts w:ascii="Calibri" w:hAnsi="Calibri"/>
          <w:color w:val="181D23"/>
          <w:sz w:val="21"/>
        </w:rPr>
        <w:t>The affirmative coordinates generation, storage, and transmission under federal ownership. That lets the government build for national reliability and long-run system savings rather than waiting for every private beneficiary to agree on cost allocation.</w:t>
      </w:r>
    </w:p>
    <w:p>
      <w:pPr>
        <w:pStyle w:val="DebateTag"/>
      </w:pPr>
      <w:r>
        <w:t>A qualified solvency advocate proposes the Green TVA mechanism the plan adopts.</w:t>
      </w:r>
    </w:p>
    <w:p>
      <w:pPr>
        <w:pStyle w:val="EvidenceCitation"/>
      </w:pPr>
      <w:r>
        <w:t>Bernie Sanders presidential campaign, The Green New Deal, 2019; mechanism summarized by Matt Bruenig, People's Policy Project, August 22, 2019, https://www.peoplespolicyproject.org/2019/08/22/bernie-sanders-endorses-green-tva-approach-to-green-new-deal/</w:t>
      </w:r>
    </w:p>
    <w:p>
      <w:pPr>
        <w:keepNext/>
        <w:keepLines/>
        <w:spacing w:after="100"/>
      </w:pPr>
      <w:r>
        <w:rPr>
          <w:rFonts w:ascii="Calibri" w:hAnsi="Calibri"/>
          <w:color w:val="181D23"/>
          <w:sz w:val="21"/>
        </w:rPr>
        <w:t>The Green TVA proposal responds to a practical institutional question inside the broader Green New Deal debate: which public entities can build and operate clean power at national scale. The proposal begins with institutions that already own generation or market federal electricity, then considers the regions and infrastructure functions their present territories do not cover. The ownership mechanism is therefore presented as an integrated public-power system rather than a collection of unrelated grants.</w:t>
      </w:r>
    </w:p>
    <w:p>
      <w:pPr>
        <w:keepNext/>
        <w:keepLines/>
        <w:spacing w:after="100"/>
      </w:pPr>
      <w:r>
        <w:rPr>
          <w:rFonts w:ascii="Calibri" w:hAnsi="Calibri"/>
          <w:b/>
          <w:color w:val="181D23"/>
          <w:sz w:val="21"/>
          <w:u w:val="single"/>
        </w:rPr>
        <w:t xml:space="preserve">The proposal directs existing federal power institutions—including TVA, the four Power Marketing Administrations, and the Bureau of Reclamation—to build and operate public renewable generation, storage, and transmission. </w:t>
      </w:r>
      <w:r>
        <w:rPr>
          <w:rFonts w:ascii="Calibri" w:hAnsi="Calibri"/>
          <w:color w:val="181D23"/>
          <w:sz w:val="21"/>
        </w:rPr>
        <w:t>It also creates a fifth PMA to cover regions outside the current federal footprint.</w:t>
      </w:r>
    </w:p>
    <w:p>
      <w:pPr>
        <w:keepLines/>
        <w:spacing w:after="160"/>
      </w:pPr>
      <w:r>
        <w:rPr>
          <w:rFonts w:ascii="Calibri" w:hAnsi="Calibri"/>
          <w:color w:val="181D23"/>
          <w:sz w:val="21"/>
        </w:rPr>
        <w:t>Implementation details belong in solvency, not the plan text: the proposal pairs large federal capital commitments with wholesale public power and preference for public, municipal, and cooperative distribution. That is a complete institutional pathway from construction to delivery.</w:t>
      </w:r>
    </w:p>
    <w:p>
      <w:pPr>
        <w:pStyle w:val="DebateTag"/>
      </w:pPr>
      <w:r>
        <w:t>Federal power institutions already supply a proven operating platform.</w:t>
      </w:r>
    </w:p>
    <w:p>
      <w:pPr>
        <w:pStyle w:val="EvidenceCitation"/>
      </w:pPr>
      <w:r>
        <w:t>U.S. Department of Energy, Power Marketing Administrations, https://www.energy.gov/power-marketing-administrations</w:t>
      </w:r>
    </w:p>
    <w:p>
      <w:pPr>
        <w:keepNext/>
        <w:keepLines/>
        <w:spacing w:after="100"/>
      </w:pPr>
      <w:r>
        <w:rPr>
          <w:rFonts w:ascii="Calibri" w:hAnsi="Calibri"/>
          <w:color w:val="181D23"/>
          <w:sz w:val="21"/>
        </w:rPr>
        <w:t>DOE administers four Power Marketing Administrations whose service territories span large parts of the country. They market electricity produced at federal multipurpose water projects and operate or contract for major transmission functions under statutes that include repayment and preference obligations. This history supplies an institutional baseline for evaluating whether federal public power can operate across state and utility boundaries.</w:t>
      </w:r>
    </w:p>
    <w:p>
      <w:pPr>
        <w:keepNext/>
        <w:keepLines/>
        <w:spacing w:after="100"/>
      </w:pPr>
      <w:r>
        <w:rPr>
          <w:rFonts w:ascii="Calibri" w:hAnsi="Calibri"/>
          <w:b/>
          <w:color w:val="181D23"/>
          <w:sz w:val="21"/>
          <w:u w:val="single"/>
        </w:rPr>
        <w:t xml:space="preserve">DOE's four Power Marketing Administrations market and transmit federally generated electricity across large multi-state regions. </w:t>
      </w:r>
      <w:r>
        <w:rPr>
          <w:rFonts w:ascii="Calibri" w:hAnsi="Calibri"/>
          <w:color w:val="181D23"/>
          <w:sz w:val="21"/>
        </w:rPr>
        <w:t>Their existing functions include high-voltage transmission, wholesale power sales, and coordination with public and cooperative customers.</w:t>
      </w:r>
    </w:p>
    <w:p>
      <w:pPr>
        <w:keepLines/>
        <w:spacing w:after="160"/>
      </w:pPr>
      <w:r>
        <w:rPr>
          <w:rFonts w:ascii="Calibri" w:hAnsi="Calibri"/>
          <w:color w:val="181D23"/>
          <w:sz w:val="21"/>
        </w:rPr>
        <w:t>The plan scales an institutional form the federal government already operates rather than inventing a retail utility from scratch. A fifth PMA fills geographic gaps while TVA, the PMAs, and Reclamation supply engineering, contracting, dispatch, and transmission experience.</w:t>
      </w:r>
    </w:p>
    <w:p>
      <w:pPr>
        <w:pStyle w:val="DebateTag"/>
      </w:pPr>
      <w:r>
        <w:t>A 100-percent clean power system by 2035 has multiple feasible pathways and net benefits.</w:t>
      </w:r>
    </w:p>
    <w:p>
      <w:pPr>
        <w:pStyle w:val="EvidenceCitation"/>
      </w:pPr>
      <w:r>
        <w:t>National Renewable Energy Laboratory, Examining Supply-Side Options to Achieve 100% Clean Electricity by 2035, August 2022, https://www.nrel.gov/docs/fy22osti/81644.pdf</w:t>
      </w:r>
    </w:p>
    <w:p>
      <w:pPr>
        <w:keepNext/>
        <w:keepLines/>
        <w:spacing w:after="100"/>
      </w:pPr>
      <w:r>
        <w:rPr>
          <w:rFonts w:ascii="Calibri" w:hAnsi="Calibri"/>
          <w:color w:val="181D23"/>
          <w:sz w:val="21"/>
        </w:rPr>
        <w:t>NREL's study models several technology portfolios capable of reaching a fully clean electricity system by 2035. The scenarios vary assumptions about technology availability, demand, transmission, storage, and the pace of deployment, so the report is useful for identifying requirements shared across pathways rather than predicting one exact buildout. The analysis also compares incremental power-system costs with quantified climate and public-health benefits.</w:t>
      </w:r>
    </w:p>
    <w:p>
      <w:pPr>
        <w:keepNext/>
        <w:keepLines/>
        <w:spacing w:after="100"/>
      </w:pPr>
      <w:r>
        <w:rPr>
          <w:rFonts w:ascii="Calibri" w:hAnsi="Calibri"/>
          <w:b/>
          <w:color w:val="181D23"/>
          <w:sz w:val="21"/>
          <w:u w:val="single"/>
        </w:rPr>
        <w:t xml:space="preserve">NREL models multiple pathways to a 100-percent clean electricity system by 2035. </w:t>
      </w:r>
      <w:r>
        <w:rPr>
          <w:rFonts w:ascii="Calibri" w:hAnsi="Calibri"/>
          <w:color w:val="181D23"/>
          <w:sz w:val="21"/>
        </w:rPr>
        <w:t>Every pathway requires rapid deployment of clean generation, storage, and major expansion of transmission, even though the exact technology mix varies.</w:t>
      </w:r>
    </w:p>
    <w:p>
      <w:pPr>
        <w:keepLines/>
        <w:spacing w:after="160"/>
      </w:pPr>
      <w:r>
        <w:rPr>
          <w:rFonts w:ascii="Calibri" w:hAnsi="Calibri"/>
          <w:color w:val="181D23"/>
          <w:sz w:val="21"/>
        </w:rPr>
        <w:t>Across scenarios, estimated climate and health benefits outweigh additional power-system costs. The plan supplies the coordinated infrastructure common to the modeled pathways and reduces dependence on uncertain private sequencing.</w:t>
      </w:r>
    </w:p>
    <w:p>
      <w:pPr>
        <w:pStyle w:val="DebateTag"/>
      </w:pPr>
      <w:r>
        <w:t>Interregional transmission and storage are reliability infrastructure, not merely climate policy.</w:t>
      </w:r>
    </w:p>
    <w:p>
      <w:pPr>
        <w:pStyle w:val="EvidenceCitation"/>
      </w:pPr>
      <w:r>
        <w:t>U.S. Department of Energy, National Transmission Needs Study, October 2023, https://www.energy.gov/sites/default/files/2023-10/National_Transmission_Needs_Study_2023.pdf</w:t>
      </w:r>
    </w:p>
    <w:p>
      <w:pPr>
        <w:keepNext/>
        <w:keepLines/>
        <w:spacing w:after="100"/>
      </w:pPr>
      <w:r>
        <w:rPr>
          <w:rFonts w:ascii="Calibri" w:hAnsi="Calibri"/>
          <w:color w:val="181D23"/>
          <w:sz w:val="21"/>
        </w:rPr>
        <w:t>DOE prepared the National Transmission Needs Study to identify where additional transfer capability would benefit reliability, resilience, and consumers as load and the generation mix change. The study compares multiple future conditions rather than assuming one forecast, and it evaluates both transmission within regions and connections between regions. Its estimates describe system needs and benefits; they do not assume that any single ownership model automatically delivers the required projects.</w:t>
      </w:r>
    </w:p>
    <w:p>
      <w:pPr>
        <w:keepNext/>
        <w:keepLines/>
        <w:spacing w:after="100"/>
      </w:pPr>
      <w:r>
        <w:rPr>
          <w:rFonts w:ascii="Calibri" w:hAnsi="Calibri"/>
          <w:b/>
          <w:color w:val="181D23"/>
          <w:sz w:val="21"/>
          <w:u w:val="single"/>
        </w:rPr>
        <w:t xml:space="preserve">DOE identifies transfer capability as a way to meet changing demand, access diverse resources, lower congestion, and respond to reliability needs. </w:t>
      </w:r>
      <w:r>
        <w:rPr>
          <w:rFonts w:ascii="Calibri" w:hAnsi="Calibri"/>
          <w:color w:val="181D23"/>
          <w:sz w:val="21"/>
        </w:rPr>
        <w:t>A region under stress can import power when another region has surplus generation.</w:t>
      </w:r>
    </w:p>
    <w:p>
      <w:pPr>
        <w:keepLines/>
        <w:spacing w:after="160"/>
      </w:pPr>
      <w:r>
        <w:rPr>
          <w:rFonts w:ascii="Calibri" w:hAnsi="Calibri"/>
          <w:color w:val="181D23"/>
          <w:sz w:val="21"/>
        </w:rPr>
        <w:t>Public ownership strengthens the warrant because a federal builder can optimize the network across service territories. Storage manages short-duration imbalance while interregional lines diversify larger weather and load shocks.</w:t>
      </w:r>
    </w:p>
    <w:p>
      <w:pPr>
        <w:pStyle w:val="DebateTag"/>
      </w:pPr>
      <w:r>
        <w:t>Displacing fossil generation prevents large, near-term health harms.</w:t>
      </w:r>
    </w:p>
    <w:p>
      <w:pPr>
        <w:pStyle w:val="EvidenceCitation"/>
      </w:pPr>
      <w:r>
        <w:t>U.S. Environmental Protection Agency, final power-sector pollution standards, April 25, 2024, https://www.epa.gov/newsreleases/biden-harris-administration-finalizes-suite-standards-reduce-pollution-fossil-fuel</w:t>
      </w:r>
    </w:p>
    <w:p>
      <w:pPr>
        <w:keepNext/>
        <w:keepLines/>
        <w:spacing w:after="100"/>
      </w:pPr>
      <w:r>
        <w:rPr>
          <w:rFonts w:ascii="Calibri" w:hAnsi="Calibri"/>
          <w:color w:val="181D23"/>
          <w:sz w:val="21"/>
        </w:rPr>
        <w:t>EPA's power-sector analysis evaluates pollution controls in the context of an interconnected electricity system and estimates health effects using changes in exposure to conventional air pollutants. The agency reports benefits separately from the engineering question of which entity owns new infrastructure. For this case, the evidence establishes the consequence of replacing dirtier generation while the ownership evidence supplies the mechanism for doing so reliably.</w:t>
      </w:r>
    </w:p>
    <w:p>
      <w:pPr>
        <w:keepNext/>
        <w:keepLines/>
        <w:spacing w:after="100"/>
      </w:pPr>
      <w:r>
        <w:rPr>
          <w:rFonts w:ascii="Calibri" w:hAnsi="Calibri"/>
          <w:b/>
          <w:color w:val="181D23"/>
          <w:sz w:val="21"/>
          <w:u w:val="single"/>
        </w:rPr>
        <w:t xml:space="preserve">EPA estimates that reducing power-sector pollution prevents premature deaths, hospital and emergency-room visits, asthma onset, asthma symptoms, and lost school and work days. </w:t>
      </w:r>
      <w:r>
        <w:rPr>
          <w:rFonts w:ascii="Calibri" w:hAnsi="Calibri"/>
          <w:color w:val="181D23"/>
          <w:sz w:val="21"/>
        </w:rPr>
        <w:t>These benefits occur alongside climate benefits because fossil plants emit both greenhouse gases and conventional air pollutants.</w:t>
      </w:r>
    </w:p>
    <w:p>
      <w:pPr>
        <w:keepLines/>
        <w:spacing w:after="160"/>
      </w:pPr>
      <w:r>
        <w:rPr>
          <w:rFonts w:ascii="Calibri" w:hAnsi="Calibri"/>
          <w:color w:val="181D23"/>
          <w:sz w:val="21"/>
        </w:rPr>
        <w:t>The plan accelerates the physical clean generation, storage, and transmission necessary to retire dirtier generation without sacrificing reliability. That makes public ownership a health intervention as well as a climate policy.</w:t>
      </w:r>
    </w:p>
    <w:p>
      <w:pPr>
        <w:pStyle w:val="Heading1"/>
      </w:pPr>
      <w:r>
        <w:t>2AC extension and frontline library</w:t>
      </w:r>
    </w:p>
    <w:p>
      <w:pPr>
        <w:pStyle w:val="Heading2"/>
      </w:pPr>
      <w:r>
        <w:t>2AC — States or municipalities counterplan</w:t>
      </w:r>
    </w:p>
    <w:p>
      <w:pPr>
        <w:pStyle w:val="ListBullet"/>
        <w:spacing w:after="80" w:line="300" w:lineRule="auto"/>
        <w:ind w:left="540" w:hanging="271"/>
      </w:pPr>
      <w:r>
        <w:rPr>
          <w:rFonts w:ascii="Calibri" w:hAnsi="Calibri"/>
          <w:color w:val="181D23"/>
          <w:sz w:val="22"/>
        </w:rPr>
        <w:t>No national coordination: local ownership cannot internalize interregional reliability and congestion benefits.</w:t>
      </w:r>
    </w:p>
    <w:p>
      <w:pPr>
        <w:pStyle w:val="ListBullet"/>
        <w:spacing w:after="80" w:line="300" w:lineRule="auto"/>
        <w:ind w:left="540" w:hanging="271"/>
      </w:pPr>
      <w:r>
        <w:rPr>
          <w:rFonts w:ascii="Calibri" w:hAnsi="Calibri"/>
          <w:color w:val="181D23"/>
          <w:sz w:val="22"/>
        </w:rPr>
        <w:t>Permutation: federal ownership of interstate backbone assets can coexist with municipal and cooperative distribution.</w:t>
      </w:r>
    </w:p>
    <w:p>
      <w:pPr>
        <w:pStyle w:val="ListBullet"/>
        <w:spacing w:after="80" w:line="300" w:lineRule="auto"/>
        <w:ind w:left="540" w:hanging="271"/>
      </w:pPr>
      <w:r>
        <w:rPr>
          <w:rFonts w:ascii="Calibri" w:hAnsi="Calibri"/>
          <w:color w:val="181D23"/>
          <w:sz w:val="22"/>
        </w:rPr>
        <w:t>The fifth PMA specifically fills regions lacking a federal platform; fragmented buildout leaves the inherency intact.</w:t>
      </w:r>
    </w:p>
    <w:p>
      <w:pPr>
        <w:pStyle w:val="Heading2"/>
      </w:pPr>
      <w:r>
        <w:t>2AC — Regulation/subsidies counterplan</w:t>
      </w:r>
    </w:p>
    <w:p>
      <w:pPr>
        <w:pStyle w:val="ListBullet"/>
        <w:spacing w:after="80" w:line="300" w:lineRule="auto"/>
        <w:ind w:left="540" w:hanging="271"/>
      </w:pPr>
      <w:r>
        <w:rPr>
          <w:rFonts w:ascii="Calibri" w:hAnsi="Calibri"/>
          <w:color w:val="181D23"/>
          <w:sz w:val="22"/>
        </w:rPr>
        <w:t>The counterplan preserves the split incentive DOE identifies: dispersed beneficiaries must still negotiate cost allocation.</w:t>
      </w:r>
    </w:p>
    <w:p>
      <w:pPr>
        <w:pStyle w:val="ListBullet"/>
        <w:spacing w:after="80" w:line="300" w:lineRule="auto"/>
        <w:ind w:left="540" w:hanging="271"/>
      </w:pPr>
      <w:r>
        <w:rPr>
          <w:rFonts w:ascii="Calibri" w:hAnsi="Calibri"/>
          <w:color w:val="181D23"/>
          <w:sz w:val="22"/>
        </w:rPr>
        <w:t>Ownership gives one actor authority to sequence generation, storage, and transmission and retain systemwide returns.</w:t>
      </w:r>
    </w:p>
    <w:p>
      <w:pPr>
        <w:pStyle w:val="ListBullet"/>
        <w:spacing w:after="80" w:line="300" w:lineRule="auto"/>
        <w:ind w:left="540" w:hanging="271"/>
      </w:pPr>
      <w:r>
        <w:rPr>
          <w:rFonts w:ascii="Calibri" w:hAnsi="Calibri"/>
          <w:color w:val="181D23"/>
          <w:sz w:val="22"/>
        </w:rPr>
        <w:t>Federal tax credits help projects but do not create a national operator or guarantee the backbone is built.</w:t>
      </w:r>
    </w:p>
    <w:p>
      <w:pPr>
        <w:pStyle w:val="Heading2"/>
      </w:pPr>
      <w:r>
        <w:t>2AC — Reliability turn</w:t>
      </w:r>
    </w:p>
    <w:p>
      <w:pPr>
        <w:pStyle w:val="ListBullet"/>
        <w:spacing w:after="80" w:line="300" w:lineRule="auto"/>
        <w:ind w:left="540" w:hanging="271"/>
      </w:pPr>
      <w:r>
        <w:rPr>
          <w:rFonts w:ascii="Calibri" w:hAnsi="Calibri"/>
          <w:color w:val="181D23"/>
          <w:sz w:val="22"/>
        </w:rPr>
        <w:t>The 1AC does not rely on renewables alone; storage and interstate transmission are explicit solvency mechanisms.</w:t>
      </w:r>
    </w:p>
    <w:p>
      <w:pPr>
        <w:pStyle w:val="ListBullet"/>
        <w:spacing w:after="80" w:line="300" w:lineRule="auto"/>
        <w:ind w:left="540" w:hanging="271"/>
      </w:pPr>
      <w:r>
        <w:rPr>
          <w:rFonts w:ascii="Calibri" w:hAnsi="Calibri"/>
          <w:color w:val="181D23"/>
          <w:sz w:val="22"/>
        </w:rPr>
        <w:t>NREL models multiple technology mixes, so the case is resilient to disputes about the marginal resource.</w:t>
      </w:r>
    </w:p>
    <w:p>
      <w:pPr>
        <w:pStyle w:val="ListBullet"/>
        <w:spacing w:after="80" w:line="300" w:lineRule="auto"/>
        <w:ind w:left="540" w:hanging="271"/>
      </w:pPr>
      <w:r>
        <w:rPr>
          <w:rFonts w:ascii="Calibri" w:hAnsi="Calibri"/>
          <w:color w:val="181D23"/>
          <w:sz w:val="22"/>
        </w:rPr>
        <w:t>Public ownership supports reserve margins and long-lived assets because the mission is reliability rather than quarterly return.</w:t>
      </w:r>
    </w:p>
    <w:p>
      <w:pPr>
        <w:pStyle w:val="Heading2"/>
      </w:pPr>
      <w:r>
        <w:t>2AC — Spending</w:t>
      </w:r>
    </w:p>
    <w:p>
      <w:pPr>
        <w:pStyle w:val="ListBullet"/>
        <w:spacing w:after="80" w:line="300" w:lineRule="auto"/>
        <w:ind w:left="540" w:hanging="271"/>
      </w:pPr>
      <w:r>
        <w:rPr>
          <w:rFonts w:ascii="Calibri" w:hAnsi="Calibri"/>
          <w:color w:val="181D23"/>
          <w:sz w:val="22"/>
        </w:rPr>
        <w:t>Compare costs to avoided fuel, congestion, outage, health, and climate damages; gross federal spending is not net social cost.</w:t>
      </w:r>
    </w:p>
    <w:p>
      <w:pPr>
        <w:pStyle w:val="ListBullet"/>
        <w:spacing w:after="80" w:line="300" w:lineRule="auto"/>
        <w:ind w:left="540" w:hanging="271"/>
      </w:pPr>
      <w:r>
        <w:rPr>
          <w:rFonts w:ascii="Calibri" w:hAnsi="Calibri"/>
          <w:color w:val="181D23"/>
          <w:sz w:val="22"/>
        </w:rPr>
        <w:t>Public assets and electricity revenue remain on the public balance sheet.</w:t>
      </w:r>
    </w:p>
    <w:p>
      <w:pPr>
        <w:pStyle w:val="ListBullet"/>
        <w:spacing w:after="80" w:line="300" w:lineRule="auto"/>
        <w:ind w:left="540" w:hanging="271"/>
      </w:pPr>
      <w:r>
        <w:rPr>
          <w:rFonts w:ascii="Calibri" w:hAnsi="Calibri"/>
          <w:color w:val="181D23"/>
          <w:sz w:val="22"/>
        </w:rPr>
        <w:t>The negative must win a specific macroeconomic impact larger than NREL's modeled net benefits.</w:t>
      </w:r>
    </w:p>
    <w:p>
      <w:pPr>
        <w:pStyle w:val="Heading1"/>
      </w:pPr>
      <w:r>
        <w:t>Tournament use notes</w:t>
      </w:r>
    </w:p>
    <w:p>
      <w:pPr>
        <w:pStyle w:val="ListBullet"/>
        <w:spacing w:after="80" w:line="300" w:lineRule="auto"/>
        <w:ind w:left="540" w:hanging="271"/>
      </w:pPr>
      <w:r>
        <w:rPr>
          <w:rFonts w:ascii="Calibri" w:hAnsi="Calibri"/>
          <w:color w:val="181D23"/>
          <w:sz w:val="22"/>
        </w:rPr>
        <w:t>Each card preserves an unmarked context paragraph before the selected passage and an unmarked context paragraph after it; no highlighting is used.</w:t>
      </w:r>
    </w:p>
    <w:p>
      <w:pPr>
        <w:pStyle w:val="ListBullet"/>
        <w:spacing w:after="80" w:line="300" w:lineRule="auto"/>
        <w:ind w:left="540" w:hanging="271"/>
      </w:pPr>
      <w:r>
        <w:rPr>
          <w:rFonts w:ascii="Calibri" w:hAnsi="Calibri"/>
          <w:color w:val="181D23"/>
          <w:sz w:val="22"/>
        </w:rPr>
        <w:t>Only the intended read paragraph receives selective bolding and underlining. Trim only after checking that the warrant and qualification remain intact.</w:t>
      </w:r>
    </w:p>
    <w:p>
      <w:pPr>
        <w:pStyle w:val="ListBullet"/>
        <w:spacing w:after="80" w:line="300" w:lineRule="auto"/>
        <w:ind w:left="540" w:hanging="271"/>
      </w:pPr>
      <w:r>
        <w:rPr>
          <w:rFonts w:ascii="Calibri" w:hAnsi="Calibri"/>
          <w:color w:val="181D23"/>
          <w:sz w:val="22"/>
        </w:rPr>
        <w:t>Open every linked source before a tournament and preserve the full surrounding text in your research archive.</w:t>
      </w:r>
    </w:p>
    <w:p>
      <w:pPr>
        <w:pStyle w:val="ListBullet"/>
        <w:spacing w:after="80" w:line="300" w:lineRule="auto"/>
        <w:ind w:left="540" w:hanging="271"/>
      </w:pPr>
      <w:r>
        <w:rPr>
          <w:rFonts w:ascii="Calibri" w:hAnsi="Calibri"/>
          <w:color w:val="181D23"/>
          <w:sz w:val="22"/>
        </w:rPr>
        <w:t>Update time-sensitive uniqueness—budgets, shortage counts, market concentration, grid demand, and current legislation—before competition.</w:t>
      </w:r>
    </w:p>
    <w:p>
      <w:pPr>
        <w:pStyle w:val="ListBullet"/>
        <w:spacing w:after="80" w:line="300" w:lineRule="auto"/>
        <w:ind w:left="540" w:hanging="271"/>
      </w:pPr>
      <w:r>
        <w:rPr>
          <w:rFonts w:ascii="Calibri" w:hAnsi="Calibri"/>
          <w:color w:val="181D23"/>
          <w:sz w:val="22"/>
        </w:rPr>
        <w:t>The 2AC blocks are analytic extensions. Pair them with updated evidence when the negative makes an evidence-heavy objection.</w:t>
      </w:r>
    </w:p>
    <w:p>
      <w:r>
        <w:br w:type="page"/>
      </w:r>
    </w:p>
    <w:p>
      <w:pPr>
        <w:pStyle w:val="Heading1"/>
      </w:pPr>
      <w:r>
        <w:t>Condensed 1AC speech map</w:t>
      </w:r>
    </w:p>
    <w:p>
      <w:r>
        <w:rPr>
          <w:rFonts w:ascii="Calibri" w:hAnsi="Calibri"/>
          <w:b/>
          <w:color w:val="1F3A5F"/>
          <w:sz w:val="22"/>
        </w:rPr>
        <w:t xml:space="preserve">Opening: </w:t>
      </w:r>
      <w:r>
        <w:rPr>
          <w:rFonts w:ascii="Calibri" w:hAnsi="Calibri"/>
          <w:color w:val="181D23"/>
          <w:sz w:val="22"/>
        </w:rPr>
        <w:t>Value: intergenerational justice. Criterion: democratic provision of reliable, decarbonized essential infrastructure.</w:t>
      </w:r>
    </w:p>
    <w:p>
      <w:r>
        <w:rPr>
          <w:rFonts w:ascii="Calibri" w:hAnsi="Calibri"/>
          <w:b/>
          <w:color w:val="1F3A5F"/>
          <w:sz w:val="22"/>
        </w:rPr>
        <w:t xml:space="preserve">Mandate: </w:t>
      </w:r>
      <w:r>
        <w:rPr>
          <w:rFonts w:ascii="Calibri" w:hAnsi="Calibri"/>
          <w:color w:val="181D23"/>
          <w:sz w:val="22"/>
        </w:rPr>
        <w:t>The United States federal government should establish a fifth federal Power Marketing Administration and substantially increase federal ownership of renewable electric generation, energy storage, and interstate transmission.</w:t>
      </w:r>
    </w:p>
    <w:p>
      <w:r>
        <w:rPr>
          <w:rFonts w:ascii="Calibri" w:hAnsi="Calibri"/>
          <w:b/>
          <w:color w:val="1F3A5F"/>
          <w:sz w:val="22"/>
        </w:rPr>
        <w:t xml:space="preserve">1. </w:t>
      </w:r>
      <w:r>
        <w:rPr>
          <w:rFonts w:ascii="Calibri" w:hAnsi="Calibri"/>
          <w:color w:val="181D23"/>
          <w:sz w:val="22"/>
        </w:rPr>
        <w:t>Observation 1 — Inherency: fragmented private incentives underbuild regional transmission and durable clean capacity.</w:t>
      </w:r>
    </w:p>
    <w:p>
      <w:r>
        <w:rPr>
          <w:rFonts w:ascii="Calibri" w:hAnsi="Calibri"/>
          <w:b/>
          <w:color w:val="1F3A5F"/>
          <w:sz w:val="22"/>
        </w:rPr>
        <w:t xml:space="preserve">2. </w:t>
      </w:r>
      <w:r>
        <w:rPr>
          <w:rFonts w:ascii="Calibri" w:hAnsi="Calibri"/>
          <w:color w:val="181D23"/>
          <w:sz w:val="22"/>
        </w:rPr>
        <w:t>Observation 2 — Solvency: a contemporary Green TVA advocate identifies federal public generation, storage, transmission, and a fifth PMA as one integrated mechanism.</w:t>
      </w:r>
    </w:p>
    <w:p>
      <w:r>
        <w:rPr>
          <w:rFonts w:ascii="Calibri" w:hAnsi="Calibri"/>
          <w:b/>
          <w:color w:val="1F3A5F"/>
          <w:sz w:val="22"/>
        </w:rPr>
        <w:t xml:space="preserve">3. </w:t>
      </w:r>
      <w:r>
        <w:rPr>
          <w:rFonts w:ascii="Calibri" w:hAnsi="Calibri"/>
          <w:color w:val="181D23"/>
          <w:sz w:val="22"/>
        </w:rPr>
        <w:t>Advantage 1 — Reliability: interregional public transmission and storage diversify weather and load risk.</w:t>
      </w:r>
    </w:p>
    <w:p>
      <w:r>
        <w:rPr>
          <w:rFonts w:ascii="Calibri" w:hAnsi="Calibri"/>
          <w:b/>
          <w:color w:val="1F3A5F"/>
          <w:sz w:val="22"/>
        </w:rPr>
        <w:t xml:space="preserve">4. </w:t>
      </w:r>
      <w:r>
        <w:rPr>
          <w:rFonts w:ascii="Calibri" w:hAnsi="Calibri"/>
          <w:color w:val="181D23"/>
          <w:sz w:val="22"/>
        </w:rPr>
        <w:t>Advantage 2 — Climate and health: public buildout accelerates clean electricity and displaces fossil generation pollution.</w:t>
      </w:r>
    </w:p>
    <w:p>
      <w:r>
        <w:rPr>
          <w:rFonts w:ascii="Calibri" w:hAnsi="Calibri"/>
          <w:b/>
          <w:color w:val="1F3A5F"/>
          <w:sz w:val="22"/>
        </w:rPr>
        <w:t xml:space="preserve">Closing comparison: </w:t>
      </w:r>
      <w:r>
        <w:rPr>
          <w:rFonts w:ascii="Calibri" w:hAnsi="Calibri"/>
          <w:color w:val="181D23"/>
          <w:sz w:val="22"/>
        </w:rPr>
        <w:t>The ballot should prefer the plan when its ownership mechanism solves a structural market failure and the negative cannot produce the same durable control without public ownership.</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56D78"/>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Calibri" w:hAnsi="Calibri"/>
        <w:b/>
        <w:color w:val="656D78"/>
        <w:sz w:val="18"/>
      </w:rPr>
      <w:t>AFF 1 — Green TVA Public Power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81D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bateTag">
    <w:name w:val="Debate Tag"/>
    <w:pPr>
      <w:keepNext/>
      <w:spacing w:before="180" w:after="60"/>
    </w:pPr>
    <w:rPr>
      <w:rFonts w:ascii="Calibri" w:hAnsi="Calibri"/>
      <w:b/>
      <w:color w:val="1F3A5F"/>
      <w:sz w:val="26"/>
    </w:rPr>
  </w:style>
  <w:style w:type="paragraph" w:customStyle="1" w:styleId="EvidenceCitation">
    <w:name w:val="Evidence Citation"/>
    <w:pPr>
      <w:keepNext/>
      <w:spacing w:after="80"/>
    </w:pPr>
    <w:rPr>
      <w:rFonts w:ascii="Calibri" w:hAnsi="Calibri"/>
      <w:i/>
      <w:color w:val="656D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