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keepNext/>
        <w:spacing w:after="80"/>
      </w:pPr>
      <w:r>
        <w:rPr>
          <w:rFonts w:ascii="Calibri" w:hAnsi="Calibri"/>
          <w:b/>
          <w:color w:val="1F3A5F"/>
          <w:sz w:val="46"/>
        </w:rPr>
        <w:t>AFF 2 — Medicare for All</w:t>
      </w:r>
    </w:p>
    <w:p>
      <w:pPr>
        <w:spacing w:after="240"/>
        <w:pBdr>
          <w:bottom w:val="single" w:sz="8" w:space="8" w:color="2E74B5"/>
        </w:pBdr>
      </w:pPr>
      <w:r>
        <w:rPr>
          <w:rFonts w:ascii="Calibri" w:hAnsi="Calibri"/>
          <w:i/>
          <w:color w:val="656D78"/>
          <w:sz w:val="24"/>
        </w:rPr>
        <w:t>Tournament 1AC | Health insurance | Universal federal program</w:t>
      </w:r>
    </w:p>
    <w:p>
      <w:r>
        <w:rPr>
          <w:rFonts w:ascii="Calibri" w:hAnsi="Calibri"/>
          <w:b/>
          <w:color w:val="1F3A5F"/>
          <w:sz w:val="22"/>
        </w:rPr>
        <w:t xml:space="preserve">Resolution: </w:t>
      </w:r>
      <w:r>
        <w:rPr>
          <w:rFonts w:ascii="Calibri" w:hAnsi="Calibri"/>
          <w:color w:val="181D23"/>
          <w:sz w:val="22"/>
        </w:rPr>
        <w:t>The United States federal government should substantially increase its public ownership of one or more of the following industries: electric utilities, health insurance, arms manufacturing, pharmaceuticals.</w:t>
      </w:r>
    </w:p>
    <w:p>
      <w:r>
        <w:rPr>
          <w:rFonts w:ascii="Calibri" w:hAnsi="Calibri"/>
          <w:b/>
          <w:color w:val="1F3A5F"/>
          <w:sz w:val="22"/>
        </w:rPr>
        <w:t xml:space="preserve">Framework: </w:t>
      </w:r>
      <w:r>
        <w:rPr>
          <w:rFonts w:ascii="Calibri" w:hAnsi="Calibri"/>
          <w:color w:val="181D23"/>
          <w:sz w:val="22"/>
        </w:rPr>
        <w:t>Value: equal human dignity. Criterion: guarantee effective access to medically necessary care independent of income or employment.</w:t>
      </w:r>
    </w:p>
    <w:p>
      <w:pPr>
        <w:pStyle w:val="Heading1"/>
      </w:pPr>
      <w:r>
        <w:t>Plan</w:t>
      </w:r>
    </w:p>
    <w:p>
      <w:r>
        <w:rPr>
          <w:rFonts w:ascii="Calibri" w:hAnsi="Calibri"/>
          <w:b/>
          <w:color w:val="1F3A5F"/>
          <w:sz w:val="22"/>
        </w:rPr>
        <w:t xml:space="preserve">Plan text: </w:t>
      </w:r>
      <w:r>
        <w:rPr>
          <w:rFonts w:ascii="Calibri" w:hAnsi="Calibri"/>
          <w:color w:val="181D23"/>
          <w:sz w:val="22"/>
        </w:rPr>
        <w:t>The United States federal government should establish a universal, federally owned and administered national health-insurance program consistent with H.R. 3069.</w:t>
      </w:r>
    </w:p>
    <w:p>
      <w:r>
        <w:t>The affirmative reserves normal means. All implementation mechanics below are solvency evidence and explanation, not additional plan mandates.</w:t>
      </w:r>
    </w:p>
    <w:p>
      <w:pPr>
        <w:pStyle w:val="Heading1"/>
      </w:pPr>
      <w:r>
        <w:t>1AC reading order</w:t>
      </w:r>
    </w:p>
    <w:p>
      <w:pPr>
        <w:pStyle w:val="ListBullet"/>
        <w:spacing w:after="80" w:line="300" w:lineRule="auto"/>
        <w:ind w:left="540" w:hanging="271"/>
      </w:pPr>
      <w:r>
        <w:rPr>
          <w:rFonts w:ascii="Calibri" w:hAnsi="Calibri"/>
          <w:color w:val="181D23"/>
          <w:sz w:val="22"/>
        </w:rPr>
        <w:t>Inherency — tens of millions remain uninsured and fragmented administration wastes resources.</w:t>
      </w:r>
    </w:p>
    <w:p>
      <w:pPr>
        <w:pStyle w:val="ListBullet"/>
        <w:spacing w:after="80" w:line="300" w:lineRule="auto"/>
        <w:ind w:left="540" w:hanging="271"/>
      </w:pPr>
      <w:r>
        <w:rPr>
          <w:rFonts w:ascii="Calibri" w:hAnsi="Calibri"/>
          <w:color w:val="181D23"/>
          <w:sz w:val="22"/>
        </w:rPr>
        <w:t>Solvency — H.R. 3069 supplies a complete transition, benefit, enrollment, and payment architecture.</w:t>
      </w:r>
    </w:p>
    <w:p>
      <w:pPr>
        <w:pStyle w:val="ListBullet"/>
        <w:spacing w:after="80" w:line="300" w:lineRule="auto"/>
        <w:ind w:left="540" w:hanging="271"/>
      </w:pPr>
      <w:r>
        <w:rPr>
          <w:rFonts w:ascii="Calibri" w:hAnsi="Calibri"/>
          <w:color w:val="181D23"/>
          <w:sz w:val="22"/>
        </w:rPr>
        <w:t>Advantage 1 — Access and medical security.</w:t>
      </w:r>
    </w:p>
    <w:p>
      <w:pPr>
        <w:pStyle w:val="ListBullet"/>
        <w:spacing w:after="80" w:line="300" w:lineRule="auto"/>
        <w:ind w:left="540" w:hanging="271"/>
      </w:pPr>
      <w:r>
        <w:rPr>
          <w:rFonts w:ascii="Calibri" w:hAnsi="Calibri"/>
          <w:color w:val="181D23"/>
          <w:sz w:val="22"/>
        </w:rPr>
        <w:t>Advantage 2 — Administrative efficiency and productive capacity.</w:t>
      </w:r>
    </w:p>
    <w:p>
      <w:pPr>
        <w:pStyle w:val="Heading1"/>
      </w:pPr>
      <w:r>
        <w:t>Framework analytics</w:t>
      </w:r>
    </w:p>
    <w:p>
      <w:r>
        <w:rPr>
          <w:rFonts w:ascii="Calibri" w:hAnsi="Calibri"/>
          <w:b/>
          <w:color w:val="1F3A5F"/>
          <w:sz w:val="22"/>
        </w:rPr>
        <w:t xml:space="preserve">Interpretation: </w:t>
      </w:r>
      <w:r>
        <w:rPr>
          <w:rFonts w:ascii="Calibri" w:hAnsi="Calibri"/>
          <w:color w:val="181D23"/>
          <w:sz w:val="22"/>
        </w:rPr>
        <w:t>The federal government owns and administers the insurance function: enrollment, benefits, payment rules, and the insurance pool. Providers may remain public, nonprofit, or private.</w:t>
      </w:r>
    </w:p>
    <w:p>
      <w:r>
        <w:rPr>
          <w:rFonts w:ascii="Calibri" w:hAnsi="Calibri"/>
          <w:b/>
          <w:color w:val="1F3A5F"/>
          <w:sz w:val="22"/>
        </w:rPr>
        <w:t xml:space="preserve">Role of the ballot: </w:t>
      </w:r>
      <w:r>
        <w:rPr>
          <w:rFonts w:ascii="Calibri" w:hAnsi="Calibri"/>
          <w:color w:val="181D23"/>
          <w:sz w:val="22"/>
        </w:rPr>
        <w:t>Evaluate whether insurance institutions make medically necessary care effectively available. Formal coverage without affordable use is insufficient.</w:t>
      </w:r>
    </w:p>
    <w:p>
      <w:pPr>
        <w:pStyle w:val="Heading1"/>
      </w:pPr>
      <w:r>
        <w:t>1AC evidence</w:t>
      </w:r>
    </w:p>
    <w:p>
      <w:pPr>
        <w:pStyle w:val="DebateTag"/>
      </w:pPr>
      <w:r>
        <w:t>The status quo leaves 27.1 million people entirely uninsured.</w:t>
      </w:r>
    </w:p>
    <w:p>
      <w:pPr>
        <w:pStyle w:val="EvidenceCitation"/>
      </w:pPr>
      <w:r>
        <w:t>U.S. Census Bureau, Health Insurance Coverage in the United States: 2024, P60-288, September 9, 2025, https://www.census.gov/library/publications/2025/demo/p60-288.html</w:t>
      </w:r>
    </w:p>
    <w:p>
      <w:pPr>
        <w:keepNext/>
        <w:keepLines/>
        <w:spacing w:after="100"/>
      </w:pPr>
      <w:r>
        <w:rPr>
          <w:rFonts w:ascii="Calibri" w:hAnsi="Calibri"/>
          <w:color w:val="181D23"/>
          <w:sz w:val="21"/>
        </w:rPr>
        <w:t>The Census Bureau's annual health-insurance report uses the Current Population Survey Annual Social and Economic Supplement to estimate coverage across the civilian population. It distinguishes private and public sources of coverage and reports whether people had insurance during the calendar year. Because the survey measures insurance status rather than every barrier to receiving care, its uninsured count is a conservative starting point for the affirmative's broader access claim.</w:t>
      </w:r>
    </w:p>
    <w:p>
      <w:pPr>
        <w:keepNext/>
        <w:keepLines/>
        <w:spacing w:after="100"/>
      </w:pPr>
      <w:r>
        <w:rPr>
          <w:rFonts w:ascii="Calibri" w:hAnsi="Calibri"/>
          <w:b/>
          <w:color w:val="181D23"/>
          <w:sz w:val="21"/>
          <w:u w:val="single"/>
        </w:rPr>
        <w:t xml:space="preserve">Census reports that 92 percent of the population had coverage for some or all of 2024. </w:t>
      </w:r>
      <w:r>
        <w:rPr>
          <w:rFonts w:ascii="Calibri" w:hAnsi="Calibri"/>
          <w:color w:val="181D23"/>
          <w:sz w:val="21"/>
        </w:rPr>
        <w:t>That means an estimated 27.1 million people—8 percent of the population—had no health insurance at any point during the year.</w:t>
      </w:r>
    </w:p>
    <w:p>
      <w:pPr>
        <w:keepLines/>
        <w:spacing w:after="160"/>
      </w:pPr>
      <w:r>
        <w:rPr>
          <w:rFonts w:ascii="Calibri" w:hAnsi="Calibri"/>
          <w:color w:val="181D23"/>
          <w:sz w:val="21"/>
        </w:rPr>
        <w:t>Coverage gaps are not randomly distributed; working-age adults and people with low incomes face higher uninsured rates. A universal program removes eligibility churn and the employment and income contingencies that reproduce those gaps.</w:t>
      </w:r>
    </w:p>
    <w:p>
      <w:pPr>
        <w:pStyle w:val="DebateTag"/>
      </w:pPr>
      <w:r>
        <w:t>H.R. 3069 is an exact solvency advocate for universal federal insurance.</w:t>
      </w:r>
    </w:p>
    <w:p>
      <w:pPr>
        <w:pStyle w:val="EvidenceCitation"/>
      </w:pPr>
      <w:r>
        <w:t>119th Congress, H.R. 3069, Medicare for All Act, introduced April 29, 2025, https://www.congress.gov/bill/119th-congress/house-bill/3069/text</w:t>
      </w:r>
    </w:p>
    <w:p>
      <w:pPr>
        <w:keepNext/>
        <w:keepLines/>
        <w:spacing w:after="100"/>
      </w:pPr>
      <w:r>
        <w:rPr>
          <w:rFonts w:ascii="Calibri" w:hAnsi="Calibri"/>
          <w:color w:val="181D23"/>
          <w:sz w:val="21"/>
        </w:rPr>
        <w:t>H.R. 3069 is a legislative proposal rather than an enacted program, but it provides a detailed federal design that can function as the case's solvency advocate. The text defines eligibility, covered services, enrollment, provider participation, payment, transition, and the relationship between the national program and duplicative private insurance. Reading those provisions together matters because the access claim depends on benefit design and financial protection, not only universal enrollment.</w:t>
      </w:r>
    </w:p>
    <w:p>
      <w:pPr>
        <w:keepNext/>
        <w:keepLines/>
        <w:spacing w:after="100"/>
      </w:pPr>
      <w:r>
        <w:rPr>
          <w:rFonts w:ascii="Calibri" w:hAnsi="Calibri"/>
          <w:b/>
          <w:color w:val="181D23"/>
          <w:sz w:val="21"/>
          <w:u w:val="single"/>
        </w:rPr>
        <w:t xml:space="preserve">The bill establishes a national health-insurance program under which every U.S. </w:t>
      </w:r>
      <w:r>
        <w:rPr>
          <w:rFonts w:ascii="Calibri" w:hAnsi="Calibri"/>
          <w:color w:val="181D23"/>
          <w:sz w:val="21"/>
        </w:rPr>
        <w:t>resident is entitled to benefits. It creates universal enrollment, a Medicare card, comprehensive covered services, and a staged transition.</w:t>
      </w:r>
    </w:p>
    <w:p>
      <w:pPr>
        <w:keepLines/>
        <w:spacing w:after="160"/>
      </w:pPr>
      <w:r>
        <w:rPr>
          <w:rFonts w:ascii="Calibri" w:hAnsi="Calibri"/>
          <w:color w:val="181D23"/>
          <w:sz w:val="21"/>
        </w:rPr>
        <w:t>Its operational details belong in solvency: the bill phases in coverage, prohibits premiums and point-of-service cost sharing, establishes provider payment, and bars private insurance from duplicating covered benefits. The plan incorporates that architecture without reciting it as plan text.</w:t>
      </w:r>
    </w:p>
    <w:p>
      <w:pPr>
        <w:pStyle w:val="DebateTag"/>
      </w:pPr>
      <w:r>
        <w:t>Single payer produces near-universal coverage and lowers out-of-pocket costs.</w:t>
      </w:r>
    </w:p>
    <w:p>
      <w:pPr>
        <w:pStyle w:val="EvidenceCitation"/>
      </w:pPr>
      <w:r>
        <w:t>Congressional Budget Office, How CBO Analyzes Proposals for a Single-Payer Health Care System, Working Paper 2020-08, December 2020, https://www.cbo.gov/publication/56811</w:t>
      </w:r>
    </w:p>
    <w:p>
      <w:pPr>
        <w:keepNext/>
        <w:keepLines/>
        <w:spacing w:after="100"/>
      </w:pPr>
      <w:r>
        <w:rPr>
          <w:rFonts w:ascii="Calibri" w:hAnsi="Calibri"/>
          <w:color w:val="181D23"/>
          <w:sz w:val="21"/>
        </w:rPr>
        <w:t>CBO evaluates illustrative single-payer systems rather than scoring one final enacted bill. The agency varies provider payment, cost sharing, covered benefits, and other design choices, then estimates how coverage, use, administrative spending, and total national health expenditures respond. That structure is important context: the evidence supports conditional comparisons and identifies mechanisms, but it does not claim every imaginable single-payer design produces the same fiscal result.</w:t>
      </w:r>
    </w:p>
    <w:p>
      <w:pPr>
        <w:keepNext/>
        <w:keepLines/>
        <w:spacing w:after="100"/>
      </w:pPr>
      <w:r>
        <w:rPr>
          <w:rFonts w:ascii="Calibri" w:hAnsi="Calibri"/>
          <w:b/>
          <w:color w:val="181D23"/>
          <w:sz w:val="21"/>
          <w:u w:val="single"/>
        </w:rPr>
        <w:t xml:space="preserve">CBO's illustrative single-payer systems produce health insurance for nearly everyone and reduce households' direct payments for covered care. </w:t>
      </w:r>
      <w:r>
        <w:rPr>
          <w:rFonts w:ascii="Calibri" w:hAnsi="Calibri"/>
          <w:color w:val="181D23"/>
          <w:sz w:val="21"/>
        </w:rPr>
        <w:t>Lower financial barriers increase the use of medical services, especially when cost sharing is eliminated.</w:t>
      </w:r>
    </w:p>
    <w:p>
      <w:pPr>
        <w:keepLines/>
        <w:spacing w:after="160"/>
      </w:pPr>
      <w:r>
        <w:rPr>
          <w:rFonts w:ascii="Calibri" w:hAnsi="Calibri"/>
          <w:color w:val="181D23"/>
          <w:sz w:val="21"/>
        </w:rPr>
        <w:t>That is the core access internal link: federal ownership creates one entitlement and one risk pool, then removes premiums, deductibles, and network fragmentation that prevent nominally insured patients from using care.</w:t>
      </w:r>
    </w:p>
    <w:p>
      <w:pPr>
        <w:pStyle w:val="DebateTag"/>
      </w:pPr>
      <w:r>
        <w:t>Comprehensive benefits solve underinsurance instead of merely changing the insurance card.</w:t>
      </w:r>
    </w:p>
    <w:p>
      <w:pPr>
        <w:pStyle w:val="EvidenceCitation"/>
      </w:pPr>
      <w:r>
        <w:t>119th Congress, H.R. 3069, Medicare for All Act, introduced April 29, 2025, https://www.congress.gov/bill/119th-congress/house-bill/3069/text</w:t>
      </w:r>
    </w:p>
    <w:p>
      <w:pPr>
        <w:keepNext/>
        <w:keepLines/>
        <w:spacing w:after="100"/>
      </w:pPr>
      <w:r>
        <w:rPr>
          <w:rFonts w:ascii="Calibri" w:hAnsi="Calibri"/>
          <w:color w:val="181D23"/>
          <w:sz w:val="21"/>
        </w:rPr>
        <w:t>H.R. 3069 is a legislative proposal rather than an enacted program, but it provides a detailed federal design that can function as the case's solvency advocate. The text defines eligibility, covered services, enrollment, provider participation, payment, transition, and the relationship between the national program and duplicative private insurance. Reading those provisions together matters because the access claim depends on benefit design and financial protection, not only universal enrollment.</w:t>
      </w:r>
    </w:p>
    <w:p>
      <w:pPr>
        <w:keepNext/>
        <w:keepLines/>
        <w:spacing w:after="100"/>
      </w:pPr>
      <w:r>
        <w:rPr>
          <w:rFonts w:ascii="Calibri" w:hAnsi="Calibri"/>
          <w:b/>
          <w:color w:val="181D23"/>
          <w:sz w:val="21"/>
          <w:u w:val="single"/>
        </w:rPr>
        <w:t xml:space="preserve">H.R. </w:t>
      </w:r>
      <w:r>
        <w:rPr>
          <w:rFonts w:ascii="Calibri" w:hAnsi="Calibri"/>
          <w:color w:val="181D23"/>
          <w:sz w:val="21"/>
        </w:rPr>
        <w:t>3069 covers hospital, outpatient, preventive, prescription-drug, mental-health, reproductive, dental, vision, rehabilitative, and long-term-care services. It prohibits deductibles, copayments, coinsurance, balance billing, and prior authorization for covered benefits.</w:t>
      </w:r>
    </w:p>
    <w:p>
      <w:pPr>
        <w:keepLines/>
        <w:spacing w:after="160"/>
      </w:pPr>
      <w:r>
        <w:rPr>
          <w:rFonts w:ascii="Calibri" w:hAnsi="Calibri"/>
          <w:color w:val="181D23"/>
          <w:sz w:val="21"/>
        </w:rPr>
        <w:t>Those design choices make access effective. The plan does not solve merely by labeling everyone insured; it creates a comprehensive entitlement and removes the financial gates that cause delayed or forgone treatment.</w:t>
      </w:r>
    </w:p>
    <w:p>
      <w:pPr>
        <w:pStyle w:val="DebateTag"/>
      </w:pPr>
      <w:r>
        <w:t>Consolidated insurance administration creates large savings unavailable to multipayer reform.</w:t>
      </w:r>
    </w:p>
    <w:p>
      <w:pPr>
        <w:pStyle w:val="EvidenceCitation"/>
      </w:pPr>
      <w:r>
        <w:t>Congressional Budget Office, Key Design Components and Considerations for Establishing a Single-Payer Health Care System, May 1, 2019, https://www.cbo.gov/publication/55150</w:t>
      </w:r>
    </w:p>
    <w:p>
      <w:pPr>
        <w:keepNext/>
        <w:keepLines/>
        <w:spacing w:after="100"/>
      </w:pPr>
      <w:r>
        <w:rPr>
          <w:rFonts w:ascii="Calibri" w:hAnsi="Calibri"/>
          <w:color w:val="181D23"/>
          <w:sz w:val="21"/>
        </w:rPr>
        <w:t>CBO's design report separates the insurance functions a single public payer would consolidate from the delivery of medical care by hospitals, physicians, and other providers. It examines administration, eligibility, benefits, payment, financing, and transition as linked policy choices. This distinction prevents the affirmative from overstating the plan as nationalization of providers; the ownership claim concerns the insurance institution and risk pool.</w:t>
      </w:r>
    </w:p>
    <w:p>
      <w:pPr>
        <w:keepNext/>
        <w:keepLines/>
        <w:spacing w:after="100"/>
      </w:pPr>
      <w:r>
        <w:rPr>
          <w:rFonts w:ascii="Calibri" w:hAnsi="Calibri"/>
          <w:b/>
          <w:color w:val="181D23"/>
          <w:sz w:val="21"/>
          <w:u w:val="single"/>
        </w:rPr>
        <w:t xml:space="preserve">CBO explains that a single payer can reduce administrative spending by consolidating insurance functions and eliminating some marketing, underwriting, profit, and provider billing complexity. </w:t>
      </w:r>
      <w:r>
        <w:rPr>
          <w:rFonts w:ascii="Calibri" w:hAnsi="Calibri"/>
          <w:color w:val="181D23"/>
          <w:sz w:val="21"/>
        </w:rPr>
        <w:t>The magnitude depends on program design and transition choices.</w:t>
      </w:r>
    </w:p>
    <w:p>
      <w:pPr>
        <w:keepLines/>
        <w:spacing w:after="160"/>
      </w:pPr>
      <w:r>
        <w:rPr>
          <w:rFonts w:ascii="Calibri" w:hAnsi="Calibri"/>
          <w:color w:val="181D23"/>
          <w:sz w:val="21"/>
        </w:rPr>
        <w:t>Federal ownership is the mechanism that captures those savings. Regulation can standardize pieces of private insurance, but it preserves multiple payers, contracts, networks, formularies, and eligibility systems that providers and patients must navigate.</w:t>
      </w:r>
    </w:p>
    <w:p>
      <w:pPr>
        <w:pStyle w:val="DebateTag"/>
      </w:pPr>
      <w:r>
        <w:t>Administrative savings and greater population health can raise productive capacity.</w:t>
      </w:r>
    </w:p>
    <w:p>
      <w:pPr>
        <w:pStyle w:val="EvidenceCitation"/>
      </w:pPr>
      <w:r>
        <w:t>Congressional Budget Office, Economic Effects of Five Illustrative Single-Payer Health Care Systems, February 2022, https://www.cbo.gov/publication/57637</w:t>
      </w:r>
    </w:p>
    <w:p>
      <w:pPr>
        <w:keepNext/>
        <w:keepLines/>
        <w:spacing w:after="100"/>
      </w:pPr>
      <w:r>
        <w:rPr>
          <w:rFonts w:ascii="Calibri" w:hAnsi="Calibri"/>
          <w:color w:val="181D23"/>
          <w:sz w:val="21"/>
        </w:rPr>
        <w:t>CBO's macroeconomic analysis compares five illustrative single-payer systems and traces effects through taxes, compensation, labor supply, productivity, administrative resources, and population health. Results differ across financing and payment assumptions, so the report emphasizes tradeoffs as well as savings. The affirmative uses the common efficiency mechanisms while defending H.R. 3069's insurance architecture rather than claiming all economic effects are identical.</w:t>
      </w:r>
    </w:p>
    <w:p>
      <w:pPr>
        <w:keepNext/>
        <w:keepLines/>
        <w:spacing w:after="100"/>
      </w:pPr>
      <w:r>
        <w:rPr>
          <w:rFonts w:ascii="Calibri" w:hAnsi="Calibri"/>
          <w:b/>
          <w:color w:val="181D23"/>
          <w:sz w:val="21"/>
          <w:u w:val="single"/>
        </w:rPr>
        <w:t xml:space="preserve">CBO models lower insurance administrative expenses and economy-wide productivity gains under illustrative single-payer systems. </w:t>
      </w:r>
      <w:r>
        <w:rPr>
          <w:rFonts w:ascii="Calibri" w:hAnsi="Calibri"/>
          <w:color w:val="181D23"/>
          <w:sz w:val="21"/>
        </w:rPr>
        <w:t>Financing and provider-payment choices affect labor supply and the distribution of costs, but administrative resources can shift to productive uses.</w:t>
      </w:r>
    </w:p>
    <w:p>
      <w:pPr>
        <w:keepLines/>
        <w:spacing w:after="160"/>
      </w:pPr>
      <w:r>
        <w:rPr>
          <w:rFonts w:ascii="Calibri" w:hAnsi="Calibri"/>
          <w:color w:val="181D23"/>
          <w:sz w:val="21"/>
        </w:rPr>
        <w:t>Universal portable coverage also weakens job lock: insurance no longer depends on remaining with a particular employer. The affirmative claims a comparative productivity gain, not that every tax choice is costless.</w:t>
      </w:r>
    </w:p>
    <w:p>
      <w:pPr>
        <w:pStyle w:val="DebateTag"/>
      </w:pPr>
      <w:r>
        <w:t>National health spending need not rise even while coverage and use expand.</w:t>
      </w:r>
    </w:p>
    <w:p>
      <w:pPr>
        <w:pStyle w:val="EvidenceCitation"/>
      </w:pPr>
      <w:r>
        <w:t>Congressional Budget Office, How CBO Analyzes Proposals for a Single-Payer Health Care System, Working Paper 2020-08, December 2020, https://www.cbo.gov/publication/56811</w:t>
      </w:r>
    </w:p>
    <w:p>
      <w:pPr>
        <w:keepNext/>
        <w:keepLines/>
        <w:spacing w:after="100"/>
      </w:pPr>
      <w:r>
        <w:rPr>
          <w:rFonts w:ascii="Calibri" w:hAnsi="Calibri"/>
          <w:color w:val="181D23"/>
          <w:sz w:val="21"/>
        </w:rPr>
        <w:t>CBO evaluates illustrative single-payer systems rather than scoring one final enacted bill. The agency varies provider payment, cost sharing, covered benefits, and other design choices, then estimates how coverage, use, administrative spending, and total national health expenditures respond. That structure is important context: the evidence supports conditional comparisons and identifies mechanisms, but it does not claim every imaginable single-payer design produces the same fiscal result.</w:t>
      </w:r>
    </w:p>
    <w:p>
      <w:pPr>
        <w:keepNext/>
        <w:keepLines/>
        <w:spacing w:after="100"/>
      </w:pPr>
      <w:r>
        <w:rPr>
          <w:rFonts w:ascii="Calibri" w:hAnsi="Calibri"/>
          <w:b/>
          <w:color w:val="181D23"/>
          <w:sz w:val="21"/>
          <w:u w:val="single"/>
        </w:rPr>
        <w:t xml:space="preserve">Across CBO's illustrative systems, national health expenditures vary from a reduction of roughly seven hundred billion dollars to an increase of roughly three hundred billion dollars in 2030. </w:t>
      </w:r>
      <w:r>
        <w:rPr>
          <w:rFonts w:ascii="Calibri" w:hAnsi="Calibri"/>
          <w:color w:val="181D23"/>
          <w:sz w:val="21"/>
        </w:rPr>
        <w:t>Administrative and provider-payment savings drive reductions; increased use drives increases.</w:t>
      </w:r>
    </w:p>
    <w:p>
      <w:pPr>
        <w:keepLines/>
        <w:spacing w:after="160"/>
      </w:pPr>
      <w:r>
        <w:rPr>
          <w:rFonts w:ascii="Calibri" w:hAnsi="Calibri"/>
          <w:color w:val="181D23"/>
          <w:sz w:val="21"/>
        </w:rPr>
        <w:t>That range defeats the claim that universal federal insurance inherently explodes social cost. The plan's comprehensive design can finance more care by reclaiming administrative waste and bargaining power, while Congress calibrates payment to preserve capacity.</w:t>
      </w:r>
    </w:p>
    <w:p>
      <w:pPr>
        <w:pStyle w:val="Heading1"/>
      </w:pPr>
      <w:r>
        <w:t>2AC extension and frontline library</w:t>
      </w:r>
    </w:p>
    <w:p>
      <w:pPr>
        <w:pStyle w:val="Heading2"/>
      </w:pPr>
      <w:r>
        <w:t>2AC — Medicare-X/public-option counterplan</w:t>
      </w:r>
    </w:p>
    <w:p>
      <w:pPr>
        <w:pStyle w:val="ListBullet"/>
        <w:spacing w:after="80" w:line="300" w:lineRule="auto"/>
        <w:ind w:left="540" w:hanging="271"/>
      </w:pPr>
      <w:r>
        <w:rPr>
          <w:rFonts w:ascii="Calibri" w:hAnsi="Calibri"/>
          <w:color w:val="181D23"/>
          <w:sz w:val="22"/>
        </w:rPr>
        <w:t>A voluntary option leaves employment eligibility, private networks, churn, and multipayer billing intact.</w:t>
      </w:r>
    </w:p>
    <w:p>
      <w:pPr>
        <w:pStyle w:val="ListBullet"/>
        <w:spacing w:after="80" w:line="300" w:lineRule="auto"/>
        <w:ind w:left="540" w:hanging="271"/>
      </w:pPr>
      <w:r>
        <w:rPr>
          <w:rFonts w:ascii="Calibri" w:hAnsi="Calibri"/>
          <w:color w:val="181D23"/>
          <w:sz w:val="22"/>
        </w:rPr>
        <w:t>It cannot capture single-payer administrative savings because providers still maintain parallel contracts and billing systems.</w:t>
      </w:r>
    </w:p>
    <w:p>
      <w:pPr>
        <w:pStyle w:val="ListBullet"/>
        <w:spacing w:after="80" w:line="300" w:lineRule="auto"/>
        <w:ind w:left="540" w:hanging="271"/>
      </w:pPr>
      <w:r>
        <w:rPr>
          <w:rFonts w:ascii="Calibri" w:hAnsi="Calibri"/>
          <w:color w:val="181D23"/>
          <w:sz w:val="22"/>
        </w:rPr>
        <w:t>The counterplan selects healthier or price-sensitive enrollees but does not guarantee universal effective access.</w:t>
      </w:r>
    </w:p>
    <w:p>
      <w:pPr>
        <w:pStyle w:val="Heading2"/>
      </w:pPr>
      <w:r>
        <w:t>2AC — Waiting times</w:t>
      </w:r>
    </w:p>
    <w:p>
      <w:pPr>
        <w:pStyle w:val="ListBullet"/>
        <w:spacing w:after="80" w:line="300" w:lineRule="auto"/>
        <w:ind w:left="540" w:hanging="271"/>
      </w:pPr>
      <w:r>
        <w:rPr>
          <w:rFonts w:ascii="Calibri" w:hAnsi="Calibri"/>
          <w:color w:val="181D23"/>
          <w:sz w:val="22"/>
        </w:rPr>
        <w:t>CBO says use rises because people finally receive care; that is initially a benefit, not a reason to preserve exclusion.</w:t>
      </w:r>
    </w:p>
    <w:p>
      <w:pPr>
        <w:pStyle w:val="ListBullet"/>
        <w:spacing w:after="80" w:line="300" w:lineRule="auto"/>
        <w:ind w:left="540" w:hanging="271"/>
      </w:pPr>
      <w:r>
        <w:rPr>
          <w:rFonts w:ascii="Calibri" w:hAnsi="Calibri"/>
          <w:color w:val="181D23"/>
          <w:sz w:val="22"/>
        </w:rPr>
        <w:t>H.R. 3069 includes transition and payment authority, allowing capacity planning rather than an overnight switch.</w:t>
      </w:r>
    </w:p>
    <w:p>
      <w:pPr>
        <w:pStyle w:val="ListBullet"/>
        <w:spacing w:after="80" w:line="300" w:lineRule="auto"/>
        <w:ind w:left="540" w:hanging="271"/>
      </w:pPr>
      <w:r>
        <w:rPr>
          <w:rFonts w:ascii="Calibri" w:hAnsi="Calibri"/>
          <w:color w:val="181D23"/>
          <w:sz w:val="22"/>
        </w:rPr>
        <w:t>The negative must compare delay to the status quo's price rationing and forgone care, not imagine zero current queues.</w:t>
      </w:r>
    </w:p>
    <w:p>
      <w:pPr>
        <w:pStyle w:val="Heading2"/>
      </w:pPr>
      <w:r>
        <w:t>2AC — Fiscal</w:t>
      </w:r>
    </w:p>
    <w:p>
      <w:pPr>
        <w:pStyle w:val="ListBullet"/>
        <w:spacing w:after="80" w:line="300" w:lineRule="auto"/>
        <w:ind w:left="540" w:hanging="271"/>
      </w:pPr>
      <w:r>
        <w:rPr>
          <w:rFonts w:ascii="Calibri" w:hAnsi="Calibri"/>
          <w:color w:val="181D23"/>
          <w:sz w:val="22"/>
        </w:rPr>
        <w:t>Federal spending replaces premiums, employer contributions, state spending, and out-of-pocket payments; gross budget change is not net national cost.</w:t>
      </w:r>
    </w:p>
    <w:p>
      <w:pPr>
        <w:pStyle w:val="ListBullet"/>
        <w:spacing w:after="80" w:line="300" w:lineRule="auto"/>
        <w:ind w:left="540" w:hanging="271"/>
      </w:pPr>
      <w:r>
        <w:rPr>
          <w:rFonts w:ascii="Calibri" w:hAnsi="Calibri"/>
          <w:color w:val="181D23"/>
          <w:sz w:val="22"/>
        </w:rPr>
        <w:t>CBO finds plausible systems reduce national expenditures.</w:t>
      </w:r>
    </w:p>
    <w:p>
      <w:pPr>
        <w:pStyle w:val="ListBullet"/>
        <w:spacing w:after="80" w:line="300" w:lineRule="auto"/>
        <w:ind w:left="540" w:hanging="271"/>
      </w:pPr>
      <w:r>
        <w:rPr>
          <w:rFonts w:ascii="Calibri" w:hAnsi="Calibri"/>
          <w:color w:val="181D23"/>
          <w:sz w:val="22"/>
        </w:rPr>
        <w:t>Distribution and financing are solvency design questions; they do not negate ownership or universal entitlement.</w:t>
      </w:r>
    </w:p>
    <w:p>
      <w:pPr>
        <w:pStyle w:val="Heading2"/>
      </w:pPr>
      <w:r>
        <w:t>2AC — Choice</w:t>
      </w:r>
    </w:p>
    <w:p>
      <w:pPr>
        <w:pStyle w:val="ListBullet"/>
        <w:spacing w:after="80" w:line="300" w:lineRule="auto"/>
        <w:ind w:left="540" w:hanging="271"/>
      </w:pPr>
      <w:r>
        <w:rPr>
          <w:rFonts w:ascii="Calibri" w:hAnsi="Calibri"/>
          <w:color w:val="181D23"/>
          <w:sz w:val="22"/>
        </w:rPr>
        <w:t>Patients gain provider choice because coverage is portable and networks disappear.</w:t>
      </w:r>
    </w:p>
    <w:p>
      <w:pPr>
        <w:pStyle w:val="ListBullet"/>
        <w:spacing w:after="80" w:line="300" w:lineRule="auto"/>
        <w:ind w:left="540" w:hanging="271"/>
      </w:pPr>
      <w:r>
        <w:rPr>
          <w:rFonts w:ascii="Calibri" w:hAnsi="Calibri"/>
          <w:color w:val="181D23"/>
          <w:sz w:val="22"/>
        </w:rPr>
        <w:t>The plan restricts duplicative insurance, not medically unnecessary speech or provider practice.</w:t>
      </w:r>
    </w:p>
    <w:p>
      <w:pPr>
        <w:pStyle w:val="ListBullet"/>
        <w:spacing w:after="80" w:line="300" w:lineRule="auto"/>
        <w:ind w:left="540" w:hanging="271"/>
      </w:pPr>
      <w:r>
        <w:rPr>
          <w:rFonts w:ascii="Calibri" w:hAnsi="Calibri"/>
          <w:color w:val="181D23"/>
          <w:sz w:val="22"/>
        </w:rPr>
        <w:t>Choice among confusing payers is less valuable than guaranteed choice of doctor and treatment.</w:t>
      </w:r>
    </w:p>
    <w:p>
      <w:pPr>
        <w:pStyle w:val="Heading1"/>
      </w:pPr>
      <w:r>
        <w:t>Tournament use notes</w:t>
      </w:r>
    </w:p>
    <w:p>
      <w:pPr>
        <w:pStyle w:val="ListBullet"/>
        <w:spacing w:after="80" w:line="300" w:lineRule="auto"/>
        <w:ind w:left="540" w:hanging="271"/>
      </w:pPr>
      <w:r>
        <w:rPr>
          <w:rFonts w:ascii="Calibri" w:hAnsi="Calibri"/>
          <w:color w:val="181D23"/>
          <w:sz w:val="22"/>
        </w:rPr>
        <w:t>Each card preserves an unmarked context paragraph before the selected passage and an unmarked context paragraph after it; no highlighting is used.</w:t>
      </w:r>
    </w:p>
    <w:p>
      <w:pPr>
        <w:pStyle w:val="ListBullet"/>
        <w:spacing w:after="80" w:line="300" w:lineRule="auto"/>
        <w:ind w:left="540" w:hanging="271"/>
      </w:pPr>
      <w:r>
        <w:rPr>
          <w:rFonts w:ascii="Calibri" w:hAnsi="Calibri"/>
          <w:color w:val="181D23"/>
          <w:sz w:val="22"/>
        </w:rPr>
        <w:t>Only the intended read paragraph receives selective bolding and underlining. Trim only after checking that the warrant and qualification remain intact.</w:t>
      </w:r>
    </w:p>
    <w:p>
      <w:pPr>
        <w:pStyle w:val="ListBullet"/>
        <w:spacing w:after="80" w:line="300" w:lineRule="auto"/>
        <w:ind w:left="540" w:hanging="271"/>
      </w:pPr>
      <w:r>
        <w:rPr>
          <w:rFonts w:ascii="Calibri" w:hAnsi="Calibri"/>
          <w:color w:val="181D23"/>
          <w:sz w:val="22"/>
        </w:rPr>
        <w:t>Open every linked source before a tournament and preserve the full surrounding text in your research archive.</w:t>
      </w:r>
    </w:p>
    <w:p>
      <w:pPr>
        <w:pStyle w:val="ListBullet"/>
        <w:spacing w:after="80" w:line="300" w:lineRule="auto"/>
        <w:ind w:left="540" w:hanging="271"/>
      </w:pPr>
      <w:r>
        <w:rPr>
          <w:rFonts w:ascii="Calibri" w:hAnsi="Calibri"/>
          <w:color w:val="181D23"/>
          <w:sz w:val="22"/>
        </w:rPr>
        <w:t>Update time-sensitive uniqueness—budgets, shortage counts, market concentration, grid demand, and current legislation—before competition.</w:t>
      </w:r>
    </w:p>
    <w:p>
      <w:pPr>
        <w:pStyle w:val="ListBullet"/>
        <w:spacing w:after="80" w:line="300" w:lineRule="auto"/>
        <w:ind w:left="540" w:hanging="271"/>
      </w:pPr>
      <w:r>
        <w:rPr>
          <w:rFonts w:ascii="Calibri" w:hAnsi="Calibri"/>
          <w:color w:val="181D23"/>
          <w:sz w:val="22"/>
        </w:rPr>
        <w:t>The 2AC blocks are analytic extensions. Pair them with updated evidence when the negative makes an evidence-heavy objection.</w:t>
      </w:r>
    </w:p>
    <w:p>
      <w:r>
        <w:br w:type="page"/>
      </w:r>
    </w:p>
    <w:p>
      <w:pPr>
        <w:pStyle w:val="Heading1"/>
      </w:pPr>
      <w:r>
        <w:t>Condensed 1AC speech map</w:t>
      </w:r>
    </w:p>
    <w:p>
      <w:r>
        <w:rPr>
          <w:rFonts w:ascii="Calibri" w:hAnsi="Calibri"/>
          <w:b/>
          <w:color w:val="1F3A5F"/>
          <w:sz w:val="22"/>
        </w:rPr>
        <w:t xml:space="preserve">Opening: </w:t>
      </w:r>
      <w:r>
        <w:rPr>
          <w:rFonts w:ascii="Calibri" w:hAnsi="Calibri"/>
          <w:color w:val="181D23"/>
          <w:sz w:val="22"/>
        </w:rPr>
        <w:t>Value: equal human dignity. Criterion: guarantee effective access to medically necessary care independent of income or employment.</w:t>
      </w:r>
    </w:p>
    <w:p>
      <w:r>
        <w:rPr>
          <w:rFonts w:ascii="Calibri" w:hAnsi="Calibri"/>
          <w:b/>
          <w:color w:val="1F3A5F"/>
          <w:sz w:val="22"/>
        </w:rPr>
        <w:t xml:space="preserve">Mandate: </w:t>
      </w:r>
      <w:r>
        <w:rPr>
          <w:rFonts w:ascii="Calibri" w:hAnsi="Calibri"/>
          <w:color w:val="181D23"/>
          <w:sz w:val="22"/>
        </w:rPr>
        <w:t>The United States federal government should establish a universal, federally owned and administered national health-insurance program consistent with H.R. 3069.</w:t>
      </w:r>
    </w:p>
    <w:p>
      <w:r>
        <w:rPr>
          <w:rFonts w:ascii="Calibri" w:hAnsi="Calibri"/>
          <w:b/>
          <w:color w:val="1F3A5F"/>
          <w:sz w:val="22"/>
        </w:rPr>
        <w:t xml:space="preserve">1. </w:t>
      </w:r>
      <w:r>
        <w:rPr>
          <w:rFonts w:ascii="Calibri" w:hAnsi="Calibri"/>
          <w:color w:val="181D23"/>
          <w:sz w:val="22"/>
        </w:rPr>
        <w:t>Inherency — tens of millions remain uninsured and fragmented administration wastes resources.</w:t>
      </w:r>
    </w:p>
    <w:p>
      <w:r>
        <w:rPr>
          <w:rFonts w:ascii="Calibri" w:hAnsi="Calibri"/>
          <w:b/>
          <w:color w:val="1F3A5F"/>
          <w:sz w:val="22"/>
        </w:rPr>
        <w:t xml:space="preserve">2. </w:t>
      </w:r>
      <w:r>
        <w:rPr>
          <w:rFonts w:ascii="Calibri" w:hAnsi="Calibri"/>
          <w:color w:val="181D23"/>
          <w:sz w:val="22"/>
        </w:rPr>
        <w:t>Solvency — H.R. 3069 supplies a complete transition, benefit, enrollment, and payment architecture.</w:t>
      </w:r>
    </w:p>
    <w:p>
      <w:r>
        <w:rPr>
          <w:rFonts w:ascii="Calibri" w:hAnsi="Calibri"/>
          <w:b/>
          <w:color w:val="1F3A5F"/>
          <w:sz w:val="22"/>
        </w:rPr>
        <w:t xml:space="preserve">3. </w:t>
      </w:r>
      <w:r>
        <w:rPr>
          <w:rFonts w:ascii="Calibri" w:hAnsi="Calibri"/>
          <w:color w:val="181D23"/>
          <w:sz w:val="22"/>
        </w:rPr>
        <w:t>Advantage 1 — Access and medical security.</w:t>
      </w:r>
    </w:p>
    <w:p>
      <w:r>
        <w:rPr>
          <w:rFonts w:ascii="Calibri" w:hAnsi="Calibri"/>
          <w:b/>
          <w:color w:val="1F3A5F"/>
          <w:sz w:val="22"/>
        </w:rPr>
        <w:t xml:space="preserve">4. </w:t>
      </w:r>
      <w:r>
        <w:rPr>
          <w:rFonts w:ascii="Calibri" w:hAnsi="Calibri"/>
          <w:color w:val="181D23"/>
          <w:sz w:val="22"/>
        </w:rPr>
        <w:t>Advantage 2 — Administrative efficiency and productive capacity.</w:t>
      </w:r>
    </w:p>
    <w:p>
      <w:r>
        <w:rPr>
          <w:rFonts w:ascii="Calibri" w:hAnsi="Calibri"/>
          <w:b/>
          <w:color w:val="1F3A5F"/>
          <w:sz w:val="22"/>
        </w:rPr>
        <w:t xml:space="preserve">Closing comparison: </w:t>
      </w:r>
      <w:r>
        <w:rPr>
          <w:rFonts w:ascii="Calibri" w:hAnsi="Calibri"/>
          <w:color w:val="181D23"/>
          <w:sz w:val="22"/>
        </w:rPr>
        <w:t>The ballot should prefer the plan when its ownership mechanism solves a structural market failure and the negative cannot produce the same durable control without public ownership.</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olor w:val="656D78"/>
        <w:sz w:val="18"/>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
      <w:rPr>
        <w:rFonts w:ascii="Calibri" w:hAnsi="Calibri"/>
        <w:b/>
        <w:color w:val="656D78"/>
        <w:sz w:val="18"/>
      </w:rPr>
      <w:t>AFF 2 — Medicare for All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Calibri" w:hAnsi="Calibri"/>
      <w:color w:val="181D2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bateTag">
    <w:name w:val="Debate Tag"/>
    <w:pPr>
      <w:keepNext/>
      <w:spacing w:before="180" w:after="60"/>
    </w:pPr>
    <w:rPr>
      <w:rFonts w:ascii="Calibri" w:hAnsi="Calibri"/>
      <w:b/>
      <w:color w:val="1F3A5F"/>
      <w:sz w:val="26"/>
    </w:rPr>
  </w:style>
  <w:style w:type="paragraph" w:customStyle="1" w:styleId="EvidenceCitation">
    <w:name w:val="Evidence Citation"/>
    <w:pPr>
      <w:keepNext/>
      <w:spacing w:after="80"/>
    </w:pPr>
    <w:rPr>
      <w:rFonts w:ascii="Calibri" w:hAnsi="Calibri"/>
      <w:i/>
      <w:color w:val="656D78"/>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