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AFF 3 — Medicare-X Public Option</w:t>
      </w:r>
    </w:p>
    <w:p>
      <w:pPr>
        <w:spacing w:after="240"/>
        <w:pBdr>
          <w:bottom w:val="single" w:sz="8" w:space="8" w:color="2E74B5"/>
        </w:pBdr>
      </w:pPr>
      <w:r>
        <w:rPr>
          <w:rFonts w:ascii="Calibri" w:hAnsi="Calibri"/>
          <w:i/>
          <w:color w:val="656D78"/>
          <w:sz w:val="24"/>
        </w:rPr>
        <w:t>Tournament 1AC | Health insurance | Federal public competitor</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Framework: </w:t>
      </w:r>
      <w:r>
        <w:rPr>
          <w:rFonts w:ascii="Calibri" w:hAnsi="Calibri"/>
          <w:color w:val="181D23"/>
          <w:sz w:val="22"/>
        </w:rPr>
        <w:t>Value: practical equality. Criterion: expand affordable choice while preserving continuity and minimizing transition risk.</w:t>
      </w:r>
    </w:p>
    <w:p>
      <w:pPr>
        <w:pStyle w:val="Heading1"/>
      </w:pPr>
      <w:r>
        <w:t>Plan</w:t>
      </w:r>
    </w:p>
    <w:p>
      <w:r>
        <w:rPr>
          <w:rFonts w:ascii="Calibri" w:hAnsi="Calibri"/>
          <w:b/>
          <w:color w:val="1F3A5F"/>
          <w:sz w:val="22"/>
        </w:rPr>
        <w:t xml:space="preserve">Plan text: </w:t>
      </w:r>
      <w:r>
        <w:rPr>
          <w:rFonts w:ascii="Calibri" w:hAnsi="Calibri"/>
          <w:color w:val="181D23"/>
          <w:sz w:val="22"/>
        </w:rPr>
        <w:t>The United States federal government should establish and operate the Medicare Exchange Health Plan consistent with S. 3369.</w:t>
      </w:r>
    </w:p>
    <w:p>
      <w:r>
        <w:t>The affirmative reserves normal means. All implementation mechanics below are solvency evidence and explanation, not additional plan mandates.</w:t>
      </w:r>
    </w:p>
    <w:p>
      <w:pPr>
        <w:pStyle w:val="Heading1"/>
      </w:pPr>
      <w:r>
        <w:t>1AC reading order</w:t>
      </w:r>
    </w:p>
    <w:p>
      <w:pPr>
        <w:pStyle w:val="ListBullet"/>
        <w:spacing w:after="80" w:line="300" w:lineRule="auto"/>
        <w:ind w:left="540" w:hanging="271"/>
      </w:pPr>
      <w:r>
        <w:rPr>
          <w:rFonts w:ascii="Calibri" w:hAnsi="Calibri"/>
          <w:color w:val="181D23"/>
          <w:sz w:val="22"/>
        </w:rPr>
        <w:t>Inherency — private insurance markets remain concentrated.</w:t>
      </w:r>
    </w:p>
    <w:p>
      <w:pPr>
        <w:pStyle w:val="ListBullet"/>
        <w:spacing w:after="80" w:line="300" w:lineRule="auto"/>
        <w:ind w:left="540" w:hanging="271"/>
      </w:pPr>
      <w:r>
        <w:rPr>
          <w:rFonts w:ascii="Calibri" w:hAnsi="Calibri"/>
          <w:color w:val="181D23"/>
          <w:sz w:val="22"/>
        </w:rPr>
        <w:t>Solvency — Medicare-X creates a nationwide federally operated benchmark with a Medicare provider base.</w:t>
      </w:r>
    </w:p>
    <w:p>
      <w:pPr>
        <w:pStyle w:val="ListBullet"/>
        <w:spacing w:after="80" w:line="300" w:lineRule="auto"/>
        <w:ind w:left="540" w:hanging="271"/>
      </w:pPr>
      <w:r>
        <w:rPr>
          <w:rFonts w:ascii="Calibri" w:hAnsi="Calibri"/>
          <w:color w:val="181D23"/>
          <w:sz w:val="22"/>
        </w:rPr>
        <w:t>Advantage 1 — Competition and affordability.</w:t>
      </w:r>
    </w:p>
    <w:p>
      <w:pPr>
        <w:pStyle w:val="ListBullet"/>
        <w:spacing w:after="80" w:line="300" w:lineRule="auto"/>
        <w:ind w:left="540" w:hanging="271"/>
      </w:pPr>
      <w:r>
        <w:rPr>
          <w:rFonts w:ascii="Calibri" w:hAnsi="Calibri"/>
          <w:color w:val="181D23"/>
          <w:sz w:val="22"/>
        </w:rPr>
        <w:t>Advantage 2 — Rural access and market stability.</w:t>
      </w:r>
    </w:p>
    <w:p>
      <w:pPr>
        <w:pStyle w:val="Heading1"/>
      </w:pPr>
      <w:r>
        <w:t>Framework analytics</w:t>
      </w:r>
    </w:p>
    <w:p>
      <w:r>
        <w:rPr>
          <w:rFonts w:ascii="Calibri" w:hAnsi="Calibri"/>
          <w:b/>
          <w:color w:val="1F3A5F"/>
          <w:sz w:val="22"/>
        </w:rPr>
        <w:t xml:space="preserve">Interpretation: </w:t>
      </w:r>
      <w:r>
        <w:rPr>
          <w:rFonts w:ascii="Calibri" w:hAnsi="Calibri"/>
          <w:color w:val="181D23"/>
          <w:sz w:val="22"/>
        </w:rPr>
        <w:t>The plan is public ownership because the federal government owns and operates an insurance product, bears insurance risk, sets benefits and payment rules, and holds the residual financial interest.</w:t>
      </w:r>
    </w:p>
    <w:p>
      <w:r>
        <w:rPr>
          <w:rFonts w:ascii="Calibri" w:hAnsi="Calibri"/>
          <w:b/>
          <w:color w:val="1F3A5F"/>
          <w:sz w:val="22"/>
        </w:rPr>
        <w:t xml:space="preserve">Comparative burden: </w:t>
      </w:r>
      <w:r>
        <w:rPr>
          <w:rFonts w:ascii="Calibri" w:hAnsi="Calibri"/>
          <w:color w:val="181D23"/>
          <w:sz w:val="22"/>
        </w:rPr>
        <w:t>The affirmative defends a substantial nationwide public entrant, not elimination of all private coverage.</w:t>
      </w:r>
    </w:p>
    <w:p>
      <w:pPr>
        <w:pStyle w:val="Heading1"/>
      </w:pPr>
      <w:r>
        <w:t>1AC evidence</w:t>
      </w:r>
    </w:p>
    <w:p>
      <w:pPr>
        <w:pStyle w:val="DebateTag"/>
      </w:pPr>
      <w:r>
        <w:t>Private health-insurance concentration has generally increased.</w:t>
      </w:r>
    </w:p>
    <w:p>
      <w:pPr>
        <w:pStyle w:val="EvidenceCitation"/>
      </w:pPr>
      <w:r>
        <w:t>U.S. Government Accountability Office, Private Health Insurance: Market Concentration Generally Increased from 2011 through 2022, GAO-25-107194, November 14, 2024, https://www.gao.gov/products/gao-25-107194</w:t>
      </w:r>
    </w:p>
    <w:p>
      <w:pPr>
        <w:keepNext/>
        <w:keepLines/>
        <w:spacing w:after="100"/>
      </w:pPr>
      <w:r>
        <w:rPr>
          <w:rFonts w:ascii="Calibri" w:hAnsi="Calibri"/>
          <w:color w:val="181D23"/>
          <w:sz w:val="21"/>
        </w:rPr>
        <w:t>GAO reviewed private health-insurance enrollment across individual, small-group, and large-group markets from 2011 through 2022. Concentration measures describe the share controlled by leading insurers within states and market segments; they do not by themselves prove the size of every premium effect. The report nevertheless provides a structural baseline for asking whether consumers face enough durable competition and whether a public entrant can remain when a private carrier exits.</w:t>
      </w:r>
    </w:p>
    <w:p>
      <w:pPr>
        <w:keepNext/>
        <w:keepLines/>
        <w:spacing w:after="100"/>
      </w:pPr>
      <w:r>
        <w:rPr>
          <w:rFonts w:ascii="Calibri" w:hAnsi="Calibri"/>
          <w:b/>
          <w:color w:val="181D23"/>
          <w:sz w:val="21"/>
          <w:u w:val="single"/>
        </w:rPr>
        <w:t xml:space="preserve">GAO finds that concentration generally increased across individual, small-group, and large-group health-insurance markets from 2011 through 2022. </w:t>
      </w:r>
      <w:r>
        <w:rPr>
          <w:rFonts w:ascii="Calibri" w:hAnsi="Calibri"/>
          <w:color w:val="181D23"/>
          <w:sz w:val="21"/>
        </w:rPr>
        <w:t>In at least 35 states, three or fewer insurers held at least 80 percent of enrollment in the examined markets.</w:t>
      </w:r>
    </w:p>
    <w:p>
      <w:pPr>
        <w:keepLines/>
        <w:spacing w:after="160"/>
      </w:pPr>
      <w:r>
        <w:rPr>
          <w:rFonts w:ascii="Calibri" w:hAnsi="Calibri"/>
          <w:color w:val="181D23"/>
          <w:sz w:val="21"/>
        </w:rPr>
        <w:t>Concentration matters because fewer meaningful rivals can reduce consumer choice and increase premiums. The plan supplies a durable nationwide competitor whose entry does not depend on a private carrier deciding a county is profitable.</w:t>
      </w:r>
    </w:p>
    <w:p>
      <w:pPr>
        <w:pStyle w:val="DebateTag"/>
      </w:pPr>
      <w:r>
        <w:t>S. 3369 is a complete federal public-option solvency advocate.</w:t>
      </w:r>
    </w:p>
    <w:p>
      <w:pPr>
        <w:pStyle w:val="EvidenceCitation"/>
      </w:pPr>
      <w:r>
        <w:t>119th Congress, S. 3369, Medicare-X Choice Act, introduced December 8, 2025, https://www.congress.gov/bill/119th-congress/senate-bill/3369/text</w:t>
      </w:r>
    </w:p>
    <w:p>
      <w:pPr>
        <w:keepNext/>
        <w:keepLines/>
        <w:spacing w:after="100"/>
      </w:pPr>
      <w:r>
        <w:rPr>
          <w:rFonts w:ascii="Calibri" w:hAnsi="Calibri"/>
          <w:color w:val="181D23"/>
          <w:sz w:val="21"/>
        </w:rPr>
        <w:t>S. 3369 is a detailed public-option proposal that operates through the existing individual and small-business exchanges. The bill connects enrollment, actuarial premiums, Medicare-linked provider payment, prescription-drug purchasing, risk adjustment, rural protections, subsidies, and reinsurance. Those provisions should be read as a package because entry alone does not guarantee low premiums or adequate provider access.</w:t>
      </w:r>
    </w:p>
    <w:p>
      <w:pPr>
        <w:keepNext/>
        <w:keepLines/>
        <w:spacing w:after="100"/>
      </w:pPr>
      <w:r>
        <w:rPr>
          <w:rFonts w:ascii="Calibri" w:hAnsi="Calibri"/>
          <w:b/>
          <w:color w:val="181D23"/>
          <w:sz w:val="21"/>
          <w:u w:val="single"/>
        </w:rPr>
        <w:t xml:space="preserve">S. </w:t>
      </w:r>
      <w:r>
        <w:rPr>
          <w:rFonts w:ascii="Calibri" w:hAnsi="Calibri"/>
          <w:color w:val="181D23"/>
          <w:sz w:val="21"/>
        </w:rPr>
        <w:t>3369 creates the Medicare Exchange Health Plan as a federal option offered on the individual and small-business exchanges. It authorizes silver and gold coverage and places the program within the existing federal insurance administration.</w:t>
      </w:r>
    </w:p>
    <w:p>
      <w:pPr>
        <w:keepLines/>
        <w:spacing w:after="160"/>
      </w:pPr>
      <w:r>
        <w:rPr>
          <w:rFonts w:ascii="Calibri" w:hAnsi="Calibri"/>
          <w:color w:val="181D23"/>
          <w:sz w:val="21"/>
        </w:rPr>
        <w:t>Implementation belongs in solvency: the bill begins in plan year 2028, uses Medicare-linked provider rates, permits rural adjustments, connects the plan to Medicare providers, expands premium assistance, and includes nationwide reinsurance.</w:t>
      </w:r>
    </w:p>
    <w:p>
      <w:pPr>
        <w:pStyle w:val="DebateTag"/>
      </w:pPr>
      <w:r>
        <w:t>A public option can discipline premiums by adding competition.</w:t>
      </w:r>
    </w:p>
    <w:p>
      <w:pPr>
        <w:pStyle w:val="EvidenceCitation"/>
      </w:pPr>
      <w:r>
        <w:t>Congressional Budget Office, A Public Option for Health Insurance in the Nongroup Marketplaces, April 7, 2021, https://www.cbo.gov/publication/57020</w:t>
      </w:r>
    </w:p>
    <w:p>
      <w:pPr>
        <w:keepNext/>
        <w:keepLines/>
        <w:spacing w:after="100"/>
      </w:pPr>
      <w:r>
        <w:rPr>
          <w:rFonts w:ascii="Calibri" w:hAnsi="Calibri"/>
          <w:color w:val="181D23"/>
          <w:sz w:val="21"/>
        </w:rPr>
        <w:t>CBO's public-option analysis is intentionally conditional. It explains that premiums and federal budget effects depend on provider payment, utilization, administrative expense, risk adjustment, benchmark interactions, and the response of private insurers. The report therefore supplies a causal framework for evaluating Medicare-X rather than a blanket prediction that every public option must be cheaper.</w:t>
      </w:r>
    </w:p>
    <w:p>
      <w:pPr>
        <w:keepNext/>
        <w:keepLines/>
        <w:spacing w:after="100"/>
      </w:pPr>
      <w:r>
        <w:rPr>
          <w:rFonts w:ascii="Calibri" w:hAnsi="Calibri"/>
          <w:b/>
          <w:color w:val="181D23"/>
          <w:sz w:val="21"/>
          <w:u w:val="single"/>
        </w:rPr>
        <w:t xml:space="preserve">CBO explains that a public option's premium depends on provider payment, enrollee utilization, risk adjustment, administrative expense, and market interactions. </w:t>
      </w:r>
      <w:r>
        <w:rPr>
          <w:rFonts w:ascii="Calibri" w:hAnsi="Calibri"/>
          <w:color w:val="181D23"/>
          <w:sz w:val="21"/>
        </w:rPr>
        <w:t>More competition can place downward pressure on premiums and private-plan pricing.</w:t>
      </w:r>
    </w:p>
    <w:p>
      <w:pPr>
        <w:keepLines/>
        <w:spacing w:after="160"/>
      </w:pPr>
      <w:r>
        <w:rPr>
          <w:rFonts w:ascii="Calibri" w:hAnsi="Calibri"/>
          <w:color w:val="181D23"/>
          <w:sz w:val="21"/>
        </w:rPr>
        <w:t>Medicare-X addresses the key design variables instead of assuming that public status alone lowers price. Medicare-linked rates, a broad provider base, actuarial premiums, risk adjustment, and reinsurance combine entry with market stability.</w:t>
      </w:r>
    </w:p>
    <w:p>
      <w:pPr>
        <w:pStyle w:val="DebateTag"/>
      </w:pPr>
      <w:r>
        <w:t>Medicare-X turns federal purchasing power into an affordable benchmark.</w:t>
      </w:r>
    </w:p>
    <w:p>
      <w:pPr>
        <w:pStyle w:val="EvidenceCitation"/>
      </w:pPr>
      <w:r>
        <w:t>119th Congress, S. 3369, Medicare-X Choice Act, introduced December 8, 2025, https://www.congress.gov/bill/119th-congress/senate-bill/3369/text</w:t>
      </w:r>
    </w:p>
    <w:p>
      <w:pPr>
        <w:keepNext/>
        <w:keepLines/>
        <w:spacing w:after="100"/>
      </w:pPr>
      <w:r>
        <w:rPr>
          <w:rFonts w:ascii="Calibri" w:hAnsi="Calibri"/>
          <w:color w:val="181D23"/>
          <w:sz w:val="21"/>
        </w:rPr>
        <w:t>S. 3369 is a detailed public-option proposal that operates through the existing individual and small-business exchanges. The bill connects enrollment, actuarial premiums, Medicare-linked provider payment, prescription-drug purchasing, risk adjustment, rural protections, subsidies, and reinsurance. Those provisions should be read as a package because entry alone does not guarantee low premiums or adequate provider access.</w:t>
      </w:r>
    </w:p>
    <w:p>
      <w:pPr>
        <w:keepNext/>
        <w:keepLines/>
        <w:spacing w:after="100"/>
      </w:pPr>
      <w:r>
        <w:rPr>
          <w:rFonts w:ascii="Calibri" w:hAnsi="Calibri"/>
          <w:b/>
          <w:color w:val="181D23"/>
          <w:sz w:val="21"/>
          <w:u w:val="single"/>
        </w:rPr>
        <w:t xml:space="preserve">The bill ties provider payment to Medicare rules while permitting increases for rural providers and other specified circumstances. </w:t>
      </w:r>
      <w:r>
        <w:rPr>
          <w:rFonts w:ascii="Calibri" w:hAnsi="Calibri"/>
          <w:color w:val="181D23"/>
          <w:sz w:val="21"/>
        </w:rPr>
        <w:t>It also authorizes prescription-drug negotiation and requires premiums to cover expected costs.</w:t>
      </w:r>
    </w:p>
    <w:p>
      <w:pPr>
        <w:keepLines/>
        <w:spacing w:after="160"/>
      </w:pPr>
      <w:r>
        <w:rPr>
          <w:rFonts w:ascii="Calibri" w:hAnsi="Calibri"/>
          <w:color w:val="181D23"/>
          <w:sz w:val="21"/>
        </w:rPr>
        <w:t>That combination targets price without pretending services are free. A public benchmark reveals what coverage costs under transparent federal administration and forces private plans to compete on price, network, and service.</w:t>
      </w:r>
    </w:p>
    <w:p>
      <w:pPr>
        <w:pStyle w:val="DebateTag"/>
      </w:pPr>
      <w:r>
        <w:t>The public option reaches counties that private carriers can abandon.</w:t>
      </w:r>
    </w:p>
    <w:p>
      <w:pPr>
        <w:pStyle w:val="EvidenceCitation"/>
      </w:pPr>
      <w:r>
        <w:t>119th Congress, S. 3369, Medicare-X Choice Act, introduced December 8, 2025, https://www.congress.gov/bill/119th-congress/senate-bill/3369/text</w:t>
      </w:r>
    </w:p>
    <w:p>
      <w:pPr>
        <w:keepNext/>
        <w:keepLines/>
        <w:spacing w:after="100"/>
      </w:pPr>
      <w:r>
        <w:rPr>
          <w:rFonts w:ascii="Calibri" w:hAnsi="Calibri"/>
          <w:color w:val="181D23"/>
          <w:sz w:val="21"/>
        </w:rPr>
        <w:t>S. 3369 is a detailed public-option proposal that operates through the existing individual and small-business exchanges. The bill connects enrollment, actuarial premiums, Medicare-linked provider payment, prescription-drug purchasing, risk adjustment, rural protections, subsidies, and reinsurance. Those provisions should be read as a package because entry alone does not guarantee low premiums or adequate provider access.</w:t>
      </w:r>
    </w:p>
    <w:p>
      <w:pPr>
        <w:keepNext/>
        <w:keepLines/>
        <w:spacing w:after="100"/>
      </w:pPr>
      <w:r>
        <w:rPr>
          <w:rFonts w:ascii="Calibri" w:hAnsi="Calibri"/>
          <w:b/>
          <w:color w:val="181D23"/>
          <w:sz w:val="21"/>
          <w:u w:val="single"/>
        </w:rPr>
        <w:t xml:space="preserve">Medicare-X is designed for nationwide exchange availability rather than county-by-county private entry. </w:t>
      </w:r>
      <w:r>
        <w:rPr>
          <w:rFonts w:ascii="Calibri" w:hAnsi="Calibri"/>
          <w:color w:val="181D23"/>
          <w:sz w:val="21"/>
        </w:rPr>
        <w:t>Medicare-participating providers form the basis of its network, subject to statutory protections and exceptional opt-out rules.</w:t>
      </w:r>
    </w:p>
    <w:p>
      <w:pPr>
        <w:keepLines/>
        <w:spacing w:after="160"/>
      </w:pPr>
      <w:r>
        <w:rPr>
          <w:rFonts w:ascii="Calibri" w:hAnsi="Calibri"/>
          <w:color w:val="181D23"/>
          <w:sz w:val="21"/>
        </w:rPr>
        <w:t>A stable federal entrant protects choice when a private insurer exits a thin market. The rural payment adjustment recognizes that access requires provider capacity as well as an insurance product.</w:t>
      </w:r>
    </w:p>
    <w:p>
      <w:pPr>
        <w:pStyle w:val="DebateTag"/>
      </w:pPr>
      <w:r>
        <w:t>Reinsurance prevents a few high-cost claims from destabilizing premiums.</w:t>
      </w:r>
    </w:p>
    <w:p>
      <w:pPr>
        <w:pStyle w:val="EvidenceCitation"/>
      </w:pPr>
      <w:r>
        <w:t>119th Congress, S. 3369, Medicare-X Choice Act, introduced December 8, 2025, https://www.congress.gov/bill/119th-congress/senate-bill/3369/text</w:t>
      </w:r>
    </w:p>
    <w:p>
      <w:pPr>
        <w:keepNext/>
        <w:keepLines/>
        <w:spacing w:after="100"/>
      </w:pPr>
      <w:r>
        <w:rPr>
          <w:rFonts w:ascii="Calibri" w:hAnsi="Calibri"/>
          <w:color w:val="181D23"/>
          <w:sz w:val="21"/>
        </w:rPr>
        <w:t>S. 3369 is a detailed public-option proposal that operates through the existing individual and small-business exchanges. The bill connects enrollment, actuarial premiums, Medicare-linked provider payment, prescription-drug purchasing, risk adjustment, rural protections, subsidies, and reinsurance. Those provisions should be read as a package because entry alone does not guarantee low premiums or adequate provider access.</w:t>
      </w:r>
    </w:p>
    <w:p>
      <w:pPr>
        <w:keepNext/>
        <w:keepLines/>
        <w:spacing w:after="100"/>
      </w:pPr>
      <w:r>
        <w:rPr>
          <w:rFonts w:ascii="Calibri" w:hAnsi="Calibri"/>
          <w:b/>
          <w:color w:val="181D23"/>
          <w:sz w:val="21"/>
          <w:u w:val="single"/>
        </w:rPr>
        <w:t xml:space="preserve">S. </w:t>
      </w:r>
      <w:r>
        <w:rPr>
          <w:rFonts w:ascii="Calibri" w:hAnsi="Calibri"/>
          <w:color w:val="181D23"/>
          <w:sz w:val="21"/>
        </w:rPr>
        <w:t>3369 establishes nationwide reinsurance funding for the individual market during the initial years. Reinsurance absorbs a portion of unusually high claims that would otherwise raise premiums across a small risk pool.</w:t>
      </w:r>
    </w:p>
    <w:p>
      <w:pPr>
        <w:keepLines/>
        <w:spacing w:after="160"/>
      </w:pPr>
      <w:r>
        <w:rPr>
          <w:rFonts w:ascii="Calibri" w:hAnsi="Calibri"/>
          <w:color w:val="181D23"/>
          <w:sz w:val="21"/>
        </w:rPr>
        <w:t>That mechanism is especially important in rural and thin markets, where a small number of expensive cases can create large year-to-year swings. The plan combines public entry with stabilization rather than relying on entry alone.</w:t>
      </w:r>
    </w:p>
    <w:p>
      <w:pPr>
        <w:pStyle w:val="DebateTag"/>
      </w:pPr>
      <w:r>
        <w:t>Medicare-X preserves continuity while creating structural public capacity.</w:t>
      </w:r>
    </w:p>
    <w:p>
      <w:pPr>
        <w:pStyle w:val="EvidenceCitation"/>
      </w:pPr>
      <w:r>
        <w:t>Senator Tim Kaine, Medicare-X Choice Act bill summary, 2025, https://www.kaine.senate.gov/imo/media/doc/medicare-x-choice-act-bill-summary-2025.pdf</w:t>
      </w:r>
    </w:p>
    <w:p>
      <w:pPr>
        <w:keepNext/>
        <w:keepLines/>
        <w:spacing w:after="100"/>
      </w:pPr>
      <w:r>
        <w:rPr>
          <w:rFonts w:ascii="Calibri" w:hAnsi="Calibri"/>
          <w:color w:val="181D23"/>
          <w:sz w:val="21"/>
        </w:rPr>
        <w:t>The Medicare-X summary describes a gradual federal insurance option that uses familiar exchange enrollment instead of replacing all current coverage at once. It presents the proposal as a choice for individuals and small employers while retaining private plans and existing Medicare. That transition context is relevant to the case's comparison with both the status quo and a comprehensive single-payer alternative.</w:t>
      </w:r>
    </w:p>
    <w:p>
      <w:pPr>
        <w:keepNext/>
        <w:keepLines/>
        <w:spacing w:after="100"/>
      </w:pPr>
      <w:r>
        <w:rPr>
          <w:rFonts w:ascii="Calibri" w:hAnsi="Calibri"/>
          <w:b/>
          <w:color w:val="181D23"/>
          <w:sz w:val="21"/>
          <w:u w:val="single"/>
        </w:rPr>
        <w:t xml:space="preserve">The proposal allows consumers and small employers to select a federal plan while preserving private coverage and existing Medicare. </w:t>
      </w:r>
      <w:r>
        <w:rPr>
          <w:rFonts w:ascii="Calibri" w:hAnsi="Calibri"/>
          <w:color w:val="181D23"/>
          <w:sz w:val="21"/>
        </w:rPr>
        <w:t>It expands affordability assistance and uses familiar exchange enrollment infrastructure.</w:t>
      </w:r>
    </w:p>
    <w:p>
      <w:pPr>
        <w:keepLines/>
        <w:spacing w:after="160"/>
      </w:pPr>
      <w:r>
        <w:rPr>
          <w:rFonts w:ascii="Calibri" w:hAnsi="Calibri"/>
          <w:color w:val="181D23"/>
          <w:sz w:val="21"/>
        </w:rPr>
        <w:t>That gradual architecture avoids the transition objection to immediate single payer. At the same time, the government acquires real underwriting, network, payment, and claims capacity that remains available regardless of private consolidation.</w:t>
      </w:r>
    </w:p>
    <w:p>
      <w:pPr>
        <w:pStyle w:val="Heading1"/>
      </w:pPr>
      <w:r>
        <w:t>2AC extension and frontline library</w:t>
      </w:r>
    </w:p>
    <w:p>
      <w:pPr>
        <w:pStyle w:val="Heading2"/>
      </w:pPr>
      <w:r>
        <w:t>2AC — Subsidies/reinsurance counterplan</w:t>
      </w:r>
    </w:p>
    <w:p>
      <w:pPr>
        <w:pStyle w:val="ListBullet"/>
        <w:spacing w:after="80" w:line="300" w:lineRule="auto"/>
        <w:ind w:left="540" w:hanging="271"/>
      </w:pPr>
      <w:r>
        <w:rPr>
          <w:rFonts w:ascii="Calibri" w:hAnsi="Calibri"/>
          <w:color w:val="181D23"/>
          <w:sz w:val="22"/>
        </w:rPr>
        <w:t>Subsidies make concentrated private premiums easier to pay but do not discipline the underlying price.</w:t>
      </w:r>
    </w:p>
    <w:p>
      <w:pPr>
        <w:pStyle w:val="ListBullet"/>
        <w:spacing w:after="80" w:line="300" w:lineRule="auto"/>
        <w:ind w:left="540" w:hanging="271"/>
      </w:pPr>
      <w:r>
        <w:rPr>
          <w:rFonts w:ascii="Calibri" w:hAnsi="Calibri"/>
          <w:color w:val="181D23"/>
          <w:sz w:val="22"/>
        </w:rPr>
        <w:t>Reinsurance stabilizes risk but does not guarantee an insurer enters every market.</w:t>
      </w:r>
    </w:p>
    <w:p>
      <w:pPr>
        <w:pStyle w:val="ListBullet"/>
        <w:spacing w:after="80" w:line="300" w:lineRule="auto"/>
        <w:ind w:left="540" w:hanging="271"/>
      </w:pPr>
      <w:r>
        <w:rPr>
          <w:rFonts w:ascii="Calibri" w:hAnsi="Calibri"/>
          <w:color w:val="181D23"/>
          <w:sz w:val="22"/>
        </w:rPr>
        <w:t>Only the plan creates a permanent public benchmark and fallback carrier.</w:t>
      </w:r>
    </w:p>
    <w:p>
      <w:pPr>
        <w:pStyle w:val="Heading2"/>
      </w:pPr>
      <w:r>
        <w:t>2AC — Provider solvency</w:t>
      </w:r>
    </w:p>
    <w:p>
      <w:pPr>
        <w:pStyle w:val="ListBullet"/>
        <w:spacing w:after="80" w:line="300" w:lineRule="auto"/>
        <w:ind w:left="540" w:hanging="271"/>
      </w:pPr>
      <w:r>
        <w:rPr>
          <w:rFonts w:ascii="Calibri" w:hAnsi="Calibri"/>
          <w:color w:val="181D23"/>
          <w:sz w:val="22"/>
        </w:rPr>
        <w:t>S. 3369 authorizes rural payment increases rather than mechanically applying one rate everywhere.</w:t>
      </w:r>
    </w:p>
    <w:p>
      <w:pPr>
        <w:pStyle w:val="ListBullet"/>
        <w:spacing w:after="80" w:line="300" w:lineRule="auto"/>
        <w:ind w:left="540" w:hanging="271"/>
      </w:pPr>
      <w:r>
        <w:rPr>
          <w:rFonts w:ascii="Calibri" w:hAnsi="Calibri"/>
          <w:color w:val="181D23"/>
          <w:sz w:val="22"/>
        </w:rPr>
        <w:t>A broad Medicare-linked network increases patient volume and reduces insurer-specific administrative friction.</w:t>
      </w:r>
    </w:p>
    <w:p>
      <w:pPr>
        <w:pStyle w:val="ListBullet"/>
        <w:spacing w:after="80" w:line="300" w:lineRule="auto"/>
        <w:ind w:left="540" w:hanging="271"/>
      </w:pPr>
      <w:r>
        <w:rPr>
          <w:rFonts w:ascii="Calibri" w:hAnsi="Calibri"/>
          <w:color w:val="181D23"/>
          <w:sz w:val="22"/>
        </w:rPr>
        <w:t>The negative must prove a net closure effect after targeted uplifts and reinsurance.</w:t>
      </w:r>
    </w:p>
    <w:p>
      <w:pPr>
        <w:pStyle w:val="Heading2"/>
      </w:pPr>
      <w:r>
        <w:t>2AC — Crowd-out</w:t>
      </w:r>
    </w:p>
    <w:p>
      <w:pPr>
        <w:pStyle w:val="ListBullet"/>
        <w:spacing w:after="80" w:line="300" w:lineRule="auto"/>
        <w:ind w:left="540" w:hanging="271"/>
      </w:pPr>
      <w:r>
        <w:rPr>
          <w:rFonts w:ascii="Calibri" w:hAnsi="Calibri"/>
          <w:color w:val="181D23"/>
          <w:sz w:val="22"/>
        </w:rPr>
        <w:t>Movement to the public plan is beneficial when it reflects lower price or better access.</w:t>
      </w:r>
    </w:p>
    <w:p>
      <w:pPr>
        <w:pStyle w:val="ListBullet"/>
        <w:spacing w:after="80" w:line="300" w:lineRule="auto"/>
        <w:ind w:left="540" w:hanging="271"/>
      </w:pPr>
      <w:r>
        <w:rPr>
          <w:rFonts w:ascii="Calibri" w:hAnsi="Calibri"/>
          <w:color w:val="181D23"/>
          <w:sz w:val="22"/>
        </w:rPr>
        <w:t>Private plans remain legal and can compete.</w:t>
      </w:r>
    </w:p>
    <w:p>
      <w:pPr>
        <w:pStyle w:val="ListBullet"/>
        <w:spacing w:after="80" w:line="300" w:lineRule="auto"/>
        <w:ind w:left="540" w:hanging="271"/>
      </w:pPr>
      <w:r>
        <w:rPr>
          <w:rFonts w:ascii="Calibri" w:hAnsi="Calibri"/>
          <w:color w:val="181D23"/>
          <w:sz w:val="22"/>
        </w:rPr>
        <w:t>The counterfactual is concentrated markets, not a perfectly competitive private baseline.</w:t>
      </w:r>
    </w:p>
    <w:p>
      <w:pPr>
        <w:pStyle w:val="Heading2"/>
      </w:pPr>
      <w:r>
        <w:t>2AC — Topicality/substantial</w:t>
      </w:r>
    </w:p>
    <w:p>
      <w:pPr>
        <w:pStyle w:val="ListBullet"/>
        <w:spacing w:after="80" w:line="300" w:lineRule="auto"/>
        <w:ind w:left="540" w:hanging="271"/>
      </w:pPr>
      <w:r>
        <w:rPr>
          <w:rFonts w:ascii="Calibri" w:hAnsi="Calibri"/>
          <w:color w:val="181D23"/>
          <w:sz w:val="22"/>
        </w:rPr>
        <w:t>The plan creates nationwide federal ownership of a full insurance product and operating platform.</w:t>
      </w:r>
    </w:p>
    <w:p>
      <w:pPr>
        <w:pStyle w:val="ListBullet"/>
        <w:spacing w:after="80" w:line="300" w:lineRule="auto"/>
        <w:ind w:left="540" w:hanging="271"/>
      </w:pPr>
      <w:r>
        <w:rPr>
          <w:rFonts w:ascii="Calibri" w:hAnsi="Calibri"/>
          <w:color w:val="181D23"/>
          <w:sz w:val="22"/>
        </w:rPr>
        <w:t>Substantial describes the increase, not a required percentage of total industry enrollment.</w:t>
      </w:r>
    </w:p>
    <w:p>
      <w:pPr>
        <w:pStyle w:val="ListBullet"/>
        <w:spacing w:after="80" w:line="300" w:lineRule="auto"/>
        <w:ind w:left="540" w:hanging="271"/>
      </w:pPr>
      <w:r>
        <w:rPr>
          <w:rFonts w:ascii="Calibri" w:hAnsi="Calibri"/>
          <w:color w:val="181D23"/>
          <w:sz w:val="22"/>
        </w:rPr>
        <w:t>A durable federal option across individual and small-group exchanges is material in scope and function.</w:t>
      </w:r>
    </w:p>
    <w:p>
      <w:pPr>
        <w:pStyle w:val="Heading1"/>
      </w:pPr>
      <w:r>
        <w:t>Tournament use notes</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context paragraph after it; no highlighting is used.</w:t>
      </w:r>
    </w:p>
    <w:p>
      <w:pPr>
        <w:pStyle w:val="ListBullet"/>
        <w:spacing w:after="80" w:line="300" w:lineRule="auto"/>
        <w:ind w:left="540" w:hanging="271"/>
      </w:pPr>
      <w:r>
        <w:rPr>
          <w:rFonts w:ascii="Calibri" w:hAnsi="Calibri"/>
          <w:color w:val="181D23"/>
          <w:sz w:val="22"/>
        </w:rPr>
        <w:t>Only the intended read paragraph receives selective bolding and underlining. Trim only after checking that the warrant and qualification remain intact.</w:t>
      </w:r>
    </w:p>
    <w:p>
      <w:pPr>
        <w:pStyle w:val="ListBullet"/>
        <w:spacing w:after="80" w:line="300" w:lineRule="auto"/>
        <w:ind w:left="540" w:hanging="271"/>
      </w:pPr>
      <w:r>
        <w:rPr>
          <w:rFonts w:ascii="Calibri" w:hAnsi="Calibri"/>
          <w:color w:val="181D23"/>
          <w:sz w:val="22"/>
        </w:rPr>
        <w:t>Open every linked source before a tournament and preserve the full surrounding text in your research archive.</w:t>
      </w:r>
    </w:p>
    <w:p>
      <w:pPr>
        <w:pStyle w:val="ListBullet"/>
        <w:spacing w:after="80" w:line="300" w:lineRule="auto"/>
        <w:ind w:left="540" w:hanging="271"/>
      </w:pPr>
      <w:r>
        <w:rPr>
          <w:rFonts w:ascii="Calibri" w:hAnsi="Calibri"/>
          <w:color w:val="181D23"/>
          <w:sz w:val="22"/>
        </w:rPr>
        <w:t>Update time-sensitive uniqueness—budgets, shortage counts, market concentration, grid demand, and current legislation—before competition.</w:t>
      </w:r>
    </w:p>
    <w:p>
      <w:pPr>
        <w:pStyle w:val="ListBullet"/>
        <w:spacing w:after="80" w:line="300" w:lineRule="auto"/>
        <w:ind w:left="540" w:hanging="271"/>
      </w:pPr>
      <w:r>
        <w:rPr>
          <w:rFonts w:ascii="Calibri" w:hAnsi="Calibri"/>
          <w:color w:val="181D23"/>
          <w:sz w:val="22"/>
        </w:rPr>
        <w:t>The 2AC blocks are analytic extensions. Pair them with updated evidence when the negative makes an evidence-heavy objection.</w:t>
      </w:r>
    </w:p>
    <w:p>
      <w:r>
        <w:br w:type="page"/>
      </w:r>
    </w:p>
    <w:p>
      <w:pPr>
        <w:pStyle w:val="Heading1"/>
      </w:pPr>
      <w:r>
        <w:t>Condensed 1AC speech map</w:t>
      </w:r>
    </w:p>
    <w:p>
      <w:r>
        <w:rPr>
          <w:rFonts w:ascii="Calibri" w:hAnsi="Calibri"/>
          <w:b/>
          <w:color w:val="1F3A5F"/>
          <w:sz w:val="22"/>
        </w:rPr>
        <w:t xml:space="preserve">Opening: </w:t>
      </w:r>
      <w:r>
        <w:rPr>
          <w:rFonts w:ascii="Calibri" w:hAnsi="Calibri"/>
          <w:color w:val="181D23"/>
          <w:sz w:val="22"/>
        </w:rPr>
        <w:t>Value: practical equality. Criterion: expand affordable choice while preserving continuity and minimizing transition risk.</w:t>
      </w:r>
    </w:p>
    <w:p>
      <w:r>
        <w:rPr>
          <w:rFonts w:ascii="Calibri" w:hAnsi="Calibri"/>
          <w:b/>
          <w:color w:val="1F3A5F"/>
          <w:sz w:val="22"/>
        </w:rPr>
        <w:t xml:space="preserve">Mandate: </w:t>
      </w:r>
      <w:r>
        <w:rPr>
          <w:rFonts w:ascii="Calibri" w:hAnsi="Calibri"/>
          <w:color w:val="181D23"/>
          <w:sz w:val="22"/>
        </w:rPr>
        <w:t>The United States federal government should establish and operate the Medicare Exchange Health Plan consistent with S. 3369.</w:t>
      </w:r>
    </w:p>
    <w:p>
      <w:r>
        <w:rPr>
          <w:rFonts w:ascii="Calibri" w:hAnsi="Calibri"/>
          <w:b/>
          <w:color w:val="1F3A5F"/>
          <w:sz w:val="22"/>
        </w:rPr>
        <w:t xml:space="preserve">1. </w:t>
      </w:r>
      <w:r>
        <w:rPr>
          <w:rFonts w:ascii="Calibri" w:hAnsi="Calibri"/>
          <w:color w:val="181D23"/>
          <w:sz w:val="22"/>
        </w:rPr>
        <w:t>Inherency — private insurance markets remain concentrated.</w:t>
      </w:r>
    </w:p>
    <w:p>
      <w:r>
        <w:rPr>
          <w:rFonts w:ascii="Calibri" w:hAnsi="Calibri"/>
          <w:b/>
          <w:color w:val="1F3A5F"/>
          <w:sz w:val="22"/>
        </w:rPr>
        <w:t xml:space="preserve">2. </w:t>
      </w:r>
      <w:r>
        <w:rPr>
          <w:rFonts w:ascii="Calibri" w:hAnsi="Calibri"/>
          <w:color w:val="181D23"/>
          <w:sz w:val="22"/>
        </w:rPr>
        <w:t>Solvency — Medicare-X creates a nationwide federally operated benchmark with a Medicare provider base.</w:t>
      </w:r>
    </w:p>
    <w:p>
      <w:r>
        <w:rPr>
          <w:rFonts w:ascii="Calibri" w:hAnsi="Calibri"/>
          <w:b/>
          <w:color w:val="1F3A5F"/>
          <w:sz w:val="22"/>
        </w:rPr>
        <w:t xml:space="preserve">3. </w:t>
      </w:r>
      <w:r>
        <w:rPr>
          <w:rFonts w:ascii="Calibri" w:hAnsi="Calibri"/>
          <w:color w:val="181D23"/>
          <w:sz w:val="22"/>
        </w:rPr>
        <w:t>Advantage 1 — Competition and affordability.</w:t>
      </w:r>
    </w:p>
    <w:p>
      <w:r>
        <w:rPr>
          <w:rFonts w:ascii="Calibri" w:hAnsi="Calibri"/>
          <w:b/>
          <w:color w:val="1F3A5F"/>
          <w:sz w:val="22"/>
        </w:rPr>
        <w:t xml:space="preserve">4. </w:t>
      </w:r>
      <w:r>
        <w:rPr>
          <w:rFonts w:ascii="Calibri" w:hAnsi="Calibri"/>
          <w:color w:val="181D23"/>
          <w:sz w:val="22"/>
        </w:rPr>
        <w:t>Advantage 2 — Rural access and market stability.</w:t>
      </w:r>
    </w:p>
    <w:p>
      <w:r>
        <w:rPr>
          <w:rFonts w:ascii="Calibri" w:hAnsi="Calibri"/>
          <w:b/>
          <w:color w:val="1F3A5F"/>
          <w:sz w:val="22"/>
        </w:rPr>
        <w:t xml:space="preserve">Closing comparison: </w:t>
      </w:r>
      <w:r>
        <w:rPr>
          <w:rFonts w:ascii="Calibri" w:hAnsi="Calibri"/>
          <w:color w:val="181D23"/>
          <w:sz w:val="22"/>
        </w:rPr>
        <w:t>The ballot should prefer the plan when its ownership mechanism solves a structural market failure and the negative cannot produce the same durable control without public ownership.</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AFF 3 — Medicare-X Public Option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