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80"/>
      </w:pPr>
      <w:r>
        <w:rPr>
          <w:rFonts w:ascii="Calibri" w:hAnsi="Calibri"/>
          <w:b/>
          <w:color w:val="1F3A5F"/>
          <w:sz w:val="46"/>
        </w:rPr>
        <w:t>NEG Core — Nationalization Topic</w:t>
      </w:r>
    </w:p>
    <w:p>
      <w:pPr>
        <w:spacing w:after="240"/>
        <w:pBdr>
          <w:bottom w:val="single" w:sz="8" w:space="8" w:color="2E74B5"/>
        </w:pBdr>
      </w:pPr>
      <w:r>
        <w:rPr>
          <w:rFonts w:ascii="Calibri" w:hAnsi="Calibri"/>
          <w:i/>
          <w:color w:val="656D78"/>
          <w:sz w:val="24"/>
        </w:rPr>
        <w:t>Case negatives, disadvantages, counterplans, topicality, and kritiks</w:t>
      </w:r>
    </w:p>
    <w:p>
      <w:r>
        <w:rPr>
          <w:rFonts w:ascii="Calibri" w:hAnsi="Calibri"/>
          <w:b/>
          <w:color w:val="1F3A5F"/>
          <w:sz w:val="22"/>
        </w:rPr>
        <w:t xml:space="preserve">Resolution: </w:t>
      </w:r>
      <w:r>
        <w:rPr>
          <w:rFonts w:ascii="Calibri" w:hAnsi="Calibri"/>
          <w:color w:val="181D23"/>
          <w:sz w:val="22"/>
        </w:rPr>
        <w:t>The United States federal government should substantially increase its public ownership of one or more of the following industries: electric utilities, health insurance, arms manufacturing, pharmaceuticals.</w:t>
      </w:r>
    </w:p>
    <w:p>
      <w:pPr>
        <w:pStyle w:val="Heading1"/>
      </w:pPr>
      <w:r>
        <w:t>Topicality and framework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T—Public ownership: require an increase in the federal government's ownership interest or residual control, not regulation, subsidies, contracts, licensing, or a government-created private competitor.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T—Substantially: require a material, durable change in ownership across a meaningful part of the selected industry; pilot plants and a single small facility are effects-topical.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T—Industry: use NAICS/EIA functional boundaries. The plan must own establishments engaged in electric utility, insurance, arms-manufacturing, or pharmaceutical production functions.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Framework: compare institutional consequences of the plan. Presumption and solvency deficits matter because ownership transitions create unique, durable governance commitments.</w:t>
      </w:r>
    </w:p>
    <w:p>
      <w:pPr>
        <w:pStyle w:val="Heading1"/>
      </w:pPr>
      <w:r>
        <w:t>Generic disadvantages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Acquisition/Fiscal DA: fair-value buyouts plus new capital spending increase federal borrowing; interest-rate and crowd-out links should be case-specific and net out displaced private spending.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Transition Shock DA: rapid ownership conversion interrupts contracting, networks, claims administration, or supply chains before public governance stabilizes.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Innovation DA: political budgeting and weak residual incentives reduce risky R&amp;D; strongest against arms and novel pharmaceuticals, weakest against mature generics and regulated network utilities.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Public-Choice/State-Capture DA: ownership shifts lobbying inside the state rather than eliminating it; managers, unions, regions, and legislators can turn firms into distributive projects.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Politics DA: large nationalization proposals polarize Congress and consume agenda capacity. Update uniqueness and link evidence immediately before tournaments.</w:t>
      </w:r>
    </w:p>
    <w:p>
      <w:pPr>
        <w:pStyle w:val="Heading1"/>
      </w:pPr>
      <w:r>
        <w:t>Generic counterplans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Partial-ownership CP: acquire a blocking or controlling minority stake plus golden-share vetoes over sale, offshoring, and mission changes.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Regulate-and-procure CP: use price regulation, open contracting, antitrust, compulsory licensing, reliability standards, and long-term procurement without federal ownership.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Public-option CP: create a federal entrant without displacing private ownership. Particularly strong against Medicare for All and full-firm acquisition cases.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States/municipalities CP: state public options, municipalization, state drug manufacturing, or regional public-power authorities preserve experimentation and federalism.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GOCO CP: government owns facilities and critical intellectual property while competitively contracting private operation; best against arms and pharmaceutical cases.</w:t>
      </w:r>
    </w:p>
    <w:p>
      <w:pPr>
        <w:pStyle w:val="Heading1"/>
      </w:pPr>
      <w:r>
        <w:t>Kritik ground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State Capitalism K: changing the owner does not change commodity production, wage relations, or accumulation; the plan socializes risk while preserving market discipline.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Neoliberal Nationalization K: crisis nationalization can protect markets by moving losses to the public balance sheet, then reorganizing public firms around competition and austerity.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Militarism/Security K: public arms ownership legitimizes permanent war capacity and makes militarism appear democratically clean; refuse the demand to optimize weapons production.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Biopolitics K: insurance and pharmaceutical ownership can deepen state classification of worthy bodies and managerial control over care; center patient autonomy and mutual provision.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Settler-Colonialism K: federal infrastructure ownership can expand extraction and transmission across Indigenous land; require consent, jurisdiction, and land return rather than federal mastery.</w:t>
      </w:r>
    </w:p>
    <w:p>
      <w:pPr>
        <w:pStyle w:val="Heading1"/>
      </w:pPr>
      <w:r>
        <w:t>Case-specific negative blocks</w:t>
      </w:r>
    </w:p>
    <w:p>
      <w:pPr>
        <w:pStyle w:val="Heading2"/>
      </w:pPr>
      <w:r>
        <w:t>Green TVA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No inherent ownership failure: federal entities already own generation and transmission; targeted siting and interconnection reform solves bottlenecks.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Grid regionalism DA: one federal buildout overrides state, tribal, and regional planning and can reproduce TVA's top-down harms.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Clean Energy Deployment CP: federal loans, tax credits, FERC interconnection reform, and PMA transmission authority without owning all new generation.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Renewables-only reliability turn: storage and transmission reduce but do not eliminate adequacy, permitting, mineral, and seasonal-balancing constraints.</w:t>
      </w:r>
    </w:p>
    <w:p>
      <w:pPr>
        <w:pStyle w:val="Heading2"/>
      </w:pPr>
      <w:r>
        <w:t>Medicare for All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Congestion turn: CBO projects increased demand can exceed supply, producing delay and forgone care under low-cost-sharing designs.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Fiscal/transition DA: federal spending increases massively even if national spending falls; tax and provider-payment choices determine the macro effect.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Medicare-X CP: preserve employer and private coverage while adding a public benchmark, subsidies, reinsurance, and a broad provider network.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Private displacement turn: banning duplicative coverage removes consumer choice and forces a two-year administrative conversion.</w:t>
      </w:r>
    </w:p>
    <w:p>
      <w:pPr>
        <w:pStyle w:val="Heading2"/>
      </w:pPr>
      <w:r>
        <w:t>Medicare-X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No guaranteed premium reduction: CBO says payment rates, utilization, risk adjustment, administration, and benchmark interactions determine results.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Provider solvency turn: Medicare rates can underfund rural or safety-net institutions; participation mandates risk consolidation or exit.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Subsidies/Reinsurance CP: enact only expanded premium tax credits and nationwide high-cost reinsurance; avoids public-plan crowd-out.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Topicality press: operating one plan may not be a substantial increase in public ownership of the health-insurance industry if private market share remains dominant.</w:t>
      </w:r>
    </w:p>
    <w:p>
      <w:pPr>
        <w:pStyle w:val="Heading2"/>
      </w:pPr>
      <w:r>
        <w:t>Public Pharmaceuticals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Quality/capacity turn: shortage causes are often manufacturing-quality failures; public ownership does not waive FDA validation or skilled-capacity constraints.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Targeted Procurement CP: advance-purchase commitments, shortage stockpiles, quality bonuses, and API grants induce redundant capacity without federal production.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Compulsory-License CP: license patents and data during monopoly pricing or shortage, then competitively source from qualified manufacturers.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Innovation link is limited but not zero: broad expansion beyond generics can chill private investment and politicize product selection.</w:t>
      </w:r>
    </w:p>
    <w:p>
      <w:pPr>
        <w:pStyle w:val="Heading2"/>
      </w:pPr>
      <w:r>
        <w:t>Public Arms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Bureaucratic lock-in DA: nationalization combines buyer and producer, weakens external cost discipline, and lets political constituencies protect failed programs.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GOCO/Arsenal CP: public ownership of critical facilities and IP with competitively selected private operators preserves surge capacity and benchmarks.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Procurement Reform CP: modular open systems, milestone testing, fixed accountability, and real competition solve performance without acquiring entire firms.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color w:val="181D23"/>
          <w:sz w:val="22"/>
        </w:rPr>
        <w:t>Militarism K: public nonprofit status can legitimize and stabilize the arms system rather than reducing force posture or exports.</w:t>
      </w:r>
    </w:p>
    <w:p>
      <w:pPr>
        <w:pStyle w:val="Heading1"/>
      </w:pPr>
      <w:r>
        <w:t>Negative evidence cards</w:t>
      </w:r>
    </w:p>
    <w:p>
      <w:pPr>
        <w:pStyle w:val="DebateTag"/>
      </w:pPr>
      <w:r>
        <w:t>Medicare for All can increase total access while also worsening queues—the negative should distinguish use from unmet demand.</w:t>
      </w:r>
    </w:p>
    <w:p>
      <w:pPr>
        <w:pStyle w:val="EvidenceCitation"/>
      </w:pPr>
      <w:r>
        <w:t>Congressional Budget Office, Working Paper 2020-08, December 2020, https://www.cbo.gov/publication/56811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CBO projects that single-payer designs produce nearly universal insurance and greater use of care. </w:t>
      </w:r>
      <w:r>
        <w:rPr>
          <w:rFonts w:ascii="Calibri" w:hAnsi="Calibri"/>
          <w:color w:val="181D23"/>
          <w:sz w:val="21"/>
        </w:rPr>
        <w:t>At the same time, increased demand can exceed the increase in supply.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That imbalance creates more congestion, including delay and forgone care, especially when cost sharing and provider payment rates are low. </w:t>
      </w:r>
      <w:r>
        <w:rPr>
          <w:rFonts w:ascii="Calibri" w:hAnsi="Calibri"/>
          <w:color w:val="181D23"/>
          <w:sz w:val="21"/>
        </w:rPr>
        <w:t>The negative should read this as an access-quality tradeoff, not deny the coverage gain.</w:t>
      </w:r>
    </w:p>
    <w:p>
      <w:pPr>
        <w:pStyle w:val="DebateTag"/>
      </w:pPr>
      <w:r>
        <w:t>A public option does not automatically reduce premiums—its core design variables can reverse the result.</w:t>
      </w:r>
    </w:p>
    <w:p>
      <w:pPr>
        <w:pStyle w:val="EvidenceCitation"/>
      </w:pPr>
      <w:r>
        <w:t>Congressional Budget Office, “A Public Option for Health Insurance in the Nongroup Marketplaces,” April 7, 2021, https://www.cbo.gov/publication/57020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CBO concludes that public-option premiums may be higher or lower than private premiums. </w:t>
      </w:r>
      <w:r>
        <w:rPr>
          <w:rFonts w:ascii="Calibri" w:hAnsi="Calibri"/>
          <w:color w:val="181D23"/>
          <w:sz w:val="21"/>
        </w:rPr>
        <w:t>Provider rates, enrollee utilization, risk adjustment, and administrative expense drive the difference.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The option can also change the benchmark used for premium tax credits. </w:t>
      </w:r>
      <w:r>
        <w:rPr>
          <w:rFonts w:ascii="Calibri" w:hAnsi="Calibri"/>
          <w:color w:val="181D23"/>
          <w:sz w:val="21"/>
        </w:rPr>
        <w:t>Negative strategies should isolate a Medicare-X design variable rather than assert that every public option fails.</w:t>
      </w:r>
    </w:p>
    <w:p>
      <w:pPr>
        <w:pStyle w:val="DebateTag"/>
      </w:pPr>
      <w:r>
        <w:t>Drug manufacturing is constrained by capital, technology, APIs, and quality—ownership alone cannot instantly expand safe capacity.</w:t>
      </w:r>
    </w:p>
    <w:p>
      <w:pPr>
        <w:pStyle w:val="EvidenceCitation"/>
      </w:pPr>
      <w:r>
        <w:t>U.S. Government Accountability Office, GAO-25-107110, April 9, 2025, https://www.gao.gov/products/gao-25-107110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GAO reports that manufacturers face capital, technological, and active-pharmaceutical-ingredient sourcing challenges when expanding capacity. </w:t>
      </w:r>
      <w:r>
        <w:rPr>
          <w:rFonts w:ascii="Calibri" w:hAnsi="Calibri"/>
          <w:color w:val="181D23"/>
          <w:sz w:val="21"/>
        </w:rPr>
        <w:t>Quality failures remain a primary cause of shortages.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A public manufacturer still needs validated facilities, trained staff, reliable ingredients, and FDA approval. </w:t>
      </w:r>
      <w:r>
        <w:rPr>
          <w:rFonts w:ascii="Calibri" w:hAnsi="Calibri"/>
          <w:color w:val="181D23"/>
          <w:sz w:val="21"/>
        </w:rPr>
        <w:t>Those constraints create a transition takeout and support narrower procurement or capacity counterplans.</w:t>
      </w:r>
    </w:p>
    <w:p>
      <w:pPr>
        <w:pStyle w:val="DebateTag"/>
      </w:pPr>
      <w:r>
        <w:t>Defense procurement failures persist across acquisition pathways—nationalization needs a governance mechanism, not just a new owner.</w:t>
      </w:r>
    </w:p>
    <w:p>
      <w:pPr>
        <w:pStyle w:val="EvidenceCitation"/>
      </w:pPr>
      <w:r>
        <w:t>U.S. Government Accountability Office, Weapon Systems Annual Assessment 2025, GAO-25-107569, June 11, 2025, https://www.gao.gov/products/gao-25-107569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GAO found cost growth, immature technology, and schedule delay even in pathways designed for faster acquisition. </w:t>
      </w:r>
      <w:r>
        <w:rPr>
          <w:rFonts w:ascii="Calibri" w:hAnsi="Calibri"/>
          <w:color w:val="181D23"/>
          <w:sz w:val="21"/>
        </w:rPr>
        <w:t>The portfolio's average path to initial capability approached twelve years.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Because government requirements and program management already shape these outcomes, the negative can argue that ownership is not the binding constraint. </w:t>
      </w:r>
      <w:r>
        <w:rPr>
          <w:rFonts w:ascii="Calibri" w:hAnsi="Calibri"/>
          <w:color w:val="181D23"/>
          <w:sz w:val="21"/>
        </w:rPr>
        <w:t>A procurement-reform counterplan targets maturity, modularity, and testing directly.</w:t>
      </w:r>
    </w:p>
    <w:p>
      <w:pPr>
        <w:pStyle w:val="DebateTag"/>
      </w:pPr>
      <w:r>
        <w:t>Electric-utility ownership is already plural and regional—federal expansion must prove coordination benefits exceed displacement.</w:t>
      </w:r>
    </w:p>
    <w:p>
      <w:pPr>
        <w:pStyle w:val="EvidenceCitation"/>
      </w:pPr>
      <w:r>
        <w:t>U.S. Energy Information Administration, “Investor-owned utilities served 72% of U.S. electricity customers in 2017,” August 15, 2019, https://www.eia.gov/todayinenergy/detail.php?id=40913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EIA identifies almost 3,000 distribution utilities organized as investor-owned utilities, publicly run utilities, and member-owned cooperatives. </w:t>
      </w:r>
      <w:r>
        <w:rPr>
          <w:rFonts w:ascii="Calibri" w:hAnsi="Calibri"/>
          <w:color w:val="181D23"/>
          <w:sz w:val="21"/>
        </w:rPr>
        <w:t>Public entities include federal, state, municipal, and public-utility-district systems.</w:t>
      </w:r>
    </w:p>
    <w:p>
      <w:pPr>
        <w:keepLines/>
        <w:spacing w:after="100"/>
      </w:pPr>
      <w:r>
        <w:rPr>
          <w:rFonts w:ascii="Calibri" w:hAnsi="Calibri"/>
          <w:b/>
          <w:color w:val="181D23"/>
          <w:sz w:val="21"/>
          <w:u w:val="single"/>
        </w:rPr>
        <w:t xml:space="preserve">That diversity supplies counterplan ground: regional, municipal, and cooperative expansion can increase non-investor ownership without a single federal generation portfolio. </w:t>
      </w:r>
      <w:r>
        <w:rPr>
          <w:rFonts w:ascii="Calibri" w:hAnsi="Calibri"/>
          <w:color w:val="181D23"/>
          <w:sz w:val="21"/>
        </w:rPr>
        <w:t>The affirmative must win a national coordination advantage.</w:t>
      </w:r>
    </w:p>
    <w:p>
      <w:pPr>
        <w:pStyle w:val="Heading1"/>
      </w:pPr>
      <w:r>
        <w:t>Research discipline</w:t>
      </w:r>
    </w:p>
    <w:p>
      <w:r>
        <w:t>The generic shells are argument maps, not substitutes for updated uniqueness or link evidence. Before competition, update fiscal, politics, market concentration, shortage, grid reliability, and defense-acquisition evidence. Do not claim that a source proves more than its study design supports.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56D78"/>
        <w:sz w:val="18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/>
        <w:b/>
        <w:color w:val="656D78"/>
        <w:sz w:val="18"/>
      </w:rPr>
      <w:t>NEG Core — Nationalization Topic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81D2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bateTag">
    <w:name w:val="Debate Tag"/>
    <w:pPr>
      <w:keepNext/>
      <w:spacing w:before="180" w:after="60"/>
    </w:pPr>
    <w:rPr>
      <w:rFonts w:ascii="Calibri" w:hAnsi="Calibri"/>
      <w:b/>
      <w:color w:val="1F3A5F"/>
      <w:sz w:val="26"/>
    </w:rPr>
  </w:style>
  <w:style w:type="paragraph" w:customStyle="1" w:styleId="EvidenceCitation">
    <w:name w:val="Evidence Citation"/>
    <w:pPr>
      <w:keepNext/>
      <w:spacing w:after="80"/>
    </w:pPr>
    <w:rPr>
      <w:rFonts w:ascii="Calibri" w:hAnsi="Calibri"/>
      <w:i/>
      <w:color w:val="656D78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