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after="80"/>
      </w:pPr>
      <w:r>
        <w:rPr>
          <w:rFonts w:ascii="Calibri" w:hAnsi="Calibri"/>
          <w:b/>
          <w:color w:val="1F3A5F"/>
          <w:sz w:val="46"/>
        </w:rPr>
        <w:t>NEG 4 — Counterplan Library</w:t>
      </w:r>
    </w:p>
    <w:p>
      <w:pPr>
        <w:spacing w:after="240"/>
        <w:pBdr>
          <w:bottom w:val="single" w:sz="8" w:space="8" w:color="2E74B5"/>
        </w:pBdr>
      </w:pPr>
      <w:r>
        <w:rPr>
          <w:rFonts w:ascii="Calibri" w:hAnsi="Calibri"/>
          <w:i/>
          <w:color w:val="656D78"/>
          <w:sz w:val="24"/>
        </w:rPr>
        <w:t>Partial ownership | Public option | Regulation | States | GOCO | Licensing</w:t>
      </w:r>
    </w:p>
    <w:p>
      <w:r>
        <w:rPr>
          <w:rFonts w:ascii="Calibri" w:hAnsi="Calibri"/>
          <w:b/>
          <w:color w:val="1F3A5F"/>
          <w:sz w:val="22"/>
        </w:rPr>
        <w:t xml:space="preserve">Resolution: </w:t>
      </w:r>
      <w:r>
        <w:rPr>
          <w:rFonts w:ascii="Calibri" w:hAnsi="Calibri"/>
          <w:color w:val="181D23"/>
          <w:sz w:val="22"/>
        </w:rPr>
        <w:t>The United States federal government should substantially increase its public ownership of one or more of the following industries: electric utilities, health insurance, arms manufacturing, pharmaceuticals.</w:t>
      </w:r>
    </w:p>
    <w:p>
      <w:r>
        <w:rPr>
          <w:rFonts w:ascii="Calibri" w:hAnsi="Calibri"/>
          <w:b/>
          <w:color w:val="1F3A5F"/>
          <w:sz w:val="22"/>
        </w:rPr>
        <w:t xml:space="preserve">Strategic thesis: </w:t>
      </w:r>
      <w:r>
        <w:rPr>
          <w:rFonts w:ascii="Calibri" w:hAnsi="Calibri"/>
          <w:color w:val="181D23"/>
          <w:sz w:val="22"/>
        </w:rPr>
        <w:t>The best counterplans isolate the affirmative's actual mechanism and preserve the smallest ownership change necessary to solve. Each counterplan below includes a competition text, net benefit, permutation answer, and case fit.</w:t>
      </w:r>
    </w:p>
    <w:p>
      <w:pPr>
        <w:pStyle w:val="Heading1"/>
      </w:pPr>
      <w:r>
        <w:t>Argument outlines</w:t>
      </w:r>
    </w:p>
    <w:p>
      <w:pPr>
        <w:pStyle w:val="Heading2"/>
      </w:pPr>
      <w:r>
        <w:t>Partial ownership / golden-share CP</w:t>
      </w:r>
    </w:p>
    <w:p>
      <w:pPr>
        <w:pStyle w:val="ListBullet"/>
        <w:spacing w:after="80" w:line="300" w:lineRule="auto"/>
        <w:ind w:left="540" w:hanging="271"/>
      </w:pPr>
      <w:r>
        <w:rPr>
          <w:rFonts w:ascii="Calibri" w:hAnsi="Calibri"/>
          <w:color w:val="181D23"/>
          <w:sz w:val="22"/>
        </w:rPr>
        <w:t>Text: acquire a noncontrolling federal stake with veto rights over sale, offshoring, dissolution, and mission changes.</w:t>
      </w:r>
    </w:p>
    <w:p>
      <w:pPr>
        <w:pStyle w:val="ListBullet"/>
        <w:spacing w:after="80" w:line="300" w:lineRule="auto"/>
        <w:ind w:left="540" w:hanging="271"/>
      </w:pPr>
      <w:r>
        <w:rPr>
          <w:rFonts w:ascii="Calibri" w:hAnsi="Calibri"/>
          <w:color w:val="181D23"/>
          <w:sz w:val="22"/>
        </w:rPr>
        <w:t>Competition: does not acquire controlling ownership or convert the enterprise into a wholly public firm.</w:t>
      </w:r>
    </w:p>
    <w:p>
      <w:pPr>
        <w:pStyle w:val="ListBullet"/>
        <w:spacing w:after="80" w:line="300" w:lineRule="auto"/>
        <w:ind w:left="540" w:hanging="271"/>
      </w:pPr>
      <w:r>
        <w:rPr>
          <w:rFonts w:ascii="Calibri" w:hAnsi="Calibri"/>
          <w:color w:val="181D23"/>
          <w:sz w:val="22"/>
        </w:rPr>
        <w:t>Net benefit: avoids full acquisition cost and bureaucracy while preserving strategic control.</w:t>
      </w:r>
    </w:p>
    <w:p>
      <w:pPr>
        <w:pStyle w:val="ListBullet"/>
        <w:spacing w:after="80" w:line="300" w:lineRule="auto"/>
        <w:ind w:left="540" w:hanging="271"/>
      </w:pPr>
      <w:r>
        <w:rPr>
          <w:rFonts w:ascii="Calibri" w:hAnsi="Calibri"/>
          <w:color w:val="181D23"/>
          <w:sz w:val="22"/>
        </w:rPr>
        <w:t>Best against: public arms and capital-intensive utility plans.</w:t>
      </w:r>
    </w:p>
    <w:p>
      <w:pPr>
        <w:pStyle w:val="Heading2"/>
      </w:pPr>
      <w:r>
        <w:t>Regulate and procure CP</w:t>
      </w:r>
    </w:p>
    <w:p>
      <w:pPr>
        <w:pStyle w:val="ListBullet"/>
        <w:spacing w:after="80" w:line="300" w:lineRule="auto"/>
        <w:ind w:left="540" w:hanging="271"/>
      </w:pPr>
      <w:r>
        <w:rPr>
          <w:rFonts w:ascii="Calibri" w:hAnsi="Calibri"/>
          <w:color w:val="181D23"/>
          <w:sz w:val="22"/>
        </w:rPr>
        <w:t>Text: impose open architecture, reliability, price, quality, and procurement rules without acquiring equity.</w:t>
      </w:r>
    </w:p>
    <w:p>
      <w:pPr>
        <w:pStyle w:val="ListBullet"/>
        <w:spacing w:after="80" w:line="300" w:lineRule="auto"/>
        <w:ind w:left="540" w:hanging="271"/>
      </w:pPr>
      <w:r>
        <w:rPr>
          <w:rFonts w:ascii="Calibri" w:hAnsi="Calibri"/>
          <w:color w:val="181D23"/>
          <w:sz w:val="22"/>
        </w:rPr>
        <w:t>Net benefit: avoids transition and state-capture links.</w:t>
      </w:r>
    </w:p>
    <w:p>
      <w:pPr>
        <w:pStyle w:val="ListBullet"/>
        <w:spacing w:after="80" w:line="300" w:lineRule="auto"/>
        <w:ind w:left="540" w:hanging="271"/>
      </w:pPr>
      <w:r>
        <w:rPr>
          <w:rFonts w:ascii="Calibri" w:hAnsi="Calibri"/>
          <w:color w:val="181D23"/>
          <w:sz w:val="22"/>
        </w:rPr>
        <w:t>Permutation answer: ownership is the DA link and is unnecessary to enforce the rules.</w:t>
      </w:r>
    </w:p>
    <w:p>
      <w:pPr>
        <w:pStyle w:val="ListBullet"/>
        <w:spacing w:after="80" w:line="300" w:lineRule="auto"/>
        <w:ind w:left="540" w:hanging="271"/>
      </w:pPr>
      <w:r>
        <w:rPr>
          <w:rFonts w:ascii="Calibri" w:hAnsi="Calibri"/>
          <w:color w:val="181D23"/>
          <w:sz w:val="22"/>
        </w:rPr>
        <w:t>Best against: arms, utilities, and pharmaceutical cases.</w:t>
      </w:r>
    </w:p>
    <w:p>
      <w:pPr>
        <w:pStyle w:val="Heading2"/>
      </w:pPr>
      <w:r>
        <w:t>Public option CP</w:t>
      </w:r>
    </w:p>
    <w:p>
      <w:pPr>
        <w:pStyle w:val="ListBullet"/>
        <w:spacing w:after="80" w:line="300" w:lineRule="auto"/>
        <w:ind w:left="540" w:hanging="271"/>
      </w:pPr>
      <w:r>
        <w:rPr>
          <w:rFonts w:ascii="Calibri" w:hAnsi="Calibri"/>
          <w:color w:val="181D23"/>
          <w:sz w:val="22"/>
        </w:rPr>
        <w:t>Text: create a federal entrant while preserving private plans or manufacturers.</w:t>
      </w:r>
    </w:p>
    <w:p>
      <w:pPr>
        <w:pStyle w:val="ListBullet"/>
        <w:spacing w:after="80" w:line="300" w:lineRule="auto"/>
        <w:ind w:left="540" w:hanging="271"/>
      </w:pPr>
      <w:r>
        <w:rPr>
          <w:rFonts w:ascii="Calibri" w:hAnsi="Calibri"/>
          <w:color w:val="181D23"/>
          <w:sz w:val="22"/>
        </w:rPr>
        <w:t>Net benefit: competition and fallback capacity without monopoly conversion.</w:t>
      </w:r>
    </w:p>
    <w:p>
      <w:pPr>
        <w:pStyle w:val="ListBullet"/>
        <w:spacing w:after="80" w:line="300" w:lineRule="auto"/>
        <w:ind w:left="540" w:hanging="271"/>
      </w:pPr>
      <w:r>
        <w:rPr>
          <w:rFonts w:ascii="Calibri" w:hAnsi="Calibri"/>
          <w:color w:val="181D23"/>
          <w:sz w:val="22"/>
        </w:rPr>
        <w:t>Best against: Medicare for All and broad pharmaceutical ownership.</w:t>
      </w:r>
    </w:p>
    <w:p>
      <w:pPr>
        <w:pStyle w:val="Heading2"/>
      </w:pPr>
      <w:r>
        <w:t>States and municipalities CP</w:t>
      </w:r>
    </w:p>
    <w:p>
      <w:pPr>
        <w:pStyle w:val="ListBullet"/>
        <w:spacing w:after="80" w:line="300" w:lineRule="auto"/>
        <w:ind w:left="540" w:hanging="271"/>
      </w:pPr>
      <w:r>
        <w:rPr>
          <w:rFonts w:ascii="Calibri" w:hAnsi="Calibri"/>
          <w:color w:val="181D23"/>
          <w:sz w:val="22"/>
        </w:rPr>
        <w:t>Text: states or local public entities increase ownership with federal waivers and financing.</w:t>
      </w:r>
    </w:p>
    <w:p>
      <w:pPr>
        <w:pStyle w:val="ListBullet"/>
        <w:spacing w:after="80" w:line="300" w:lineRule="auto"/>
        <w:ind w:left="540" w:hanging="271"/>
      </w:pPr>
      <w:r>
        <w:rPr>
          <w:rFonts w:ascii="Calibri" w:hAnsi="Calibri"/>
          <w:color w:val="181D23"/>
          <w:sz w:val="22"/>
        </w:rPr>
        <w:t>Net benefit: experimentation and local accountability.</w:t>
      </w:r>
    </w:p>
    <w:p>
      <w:pPr>
        <w:pStyle w:val="ListBullet"/>
        <w:spacing w:after="80" w:line="300" w:lineRule="auto"/>
        <w:ind w:left="540" w:hanging="271"/>
      </w:pPr>
      <w:r>
        <w:rPr>
          <w:rFonts w:ascii="Calibri" w:hAnsi="Calibri"/>
          <w:color w:val="181D23"/>
          <w:sz w:val="22"/>
        </w:rPr>
        <w:t>Best against: insurance, power, and drug-manufacturing cases lacking a national coordination advantage.</w:t>
      </w:r>
    </w:p>
    <w:p>
      <w:pPr>
        <w:pStyle w:val="Heading2"/>
      </w:pPr>
      <w:r>
        <w:t>GOCO CP</w:t>
      </w:r>
    </w:p>
    <w:p>
      <w:pPr>
        <w:pStyle w:val="ListBullet"/>
        <w:spacing w:after="80" w:line="300" w:lineRule="auto"/>
        <w:ind w:left="540" w:hanging="271"/>
      </w:pPr>
      <w:r>
        <w:rPr>
          <w:rFonts w:ascii="Calibri" w:hAnsi="Calibri"/>
          <w:color w:val="181D23"/>
          <w:sz w:val="22"/>
        </w:rPr>
        <w:t>Text: federal government owns critical facilities and technical data while competitively contracting operation.</w:t>
      </w:r>
    </w:p>
    <w:p>
      <w:pPr>
        <w:pStyle w:val="ListBullet"/>
        <w:spacing w:after="80" w:line="300" w:lineRule="auto"/>
        <w:ind w:left="540" w:hanging="271"/>
      </w:pPr>
      <w:r>
        <w:rPr>
          <w:rFonts w:ascii="Calibri" w:hAnsi="Calibri"/>
          <w:color w:val="181D23"/>
          <w:sz w:val="22"/>
        </w:rPr>
        <w:t>Net benefit: strategic control with external management benchmarks.</w:t>
      </w:r>
    </w:p>
    <w:p>
      <w:pPr>
        <w:pStyle w:val="ListBullet"/>
        <w:spacing w:after="80" w:line="300" w:lineRule="auto"/>
        <w:ind w:left="540" w:hanging="271"/>
      </w:pPr>
      <w:r>
        <w:rPr>
          <w:rFonts w:ascii="Calibri" w:hAnsi="Calibri"/>
          <w:color w:val="181D23"/>
          <w:sz w:val="22"/>
        </w:rPr>
        <w:t>Best against: arms and complex manufacturing cases.</w:t>
      </w:r>
    </w:p>
    <w:p>
      <w:pPr>
        <w:pStyle w:val="Heading1"/>
      </w:pPr>
      <w:r>
        <w:t>Negative evidence</w:t>
      </w:r>
    </w:p>
    <w:p>
      <w:pPr>
        <w:pStyle w:val="DebateTag"/>
      </w:pPr>
      <w:r>
        <w:t>A public option can add competition without eliminating private coverage.</w:t>
      </w:r>
    </w:p>
    <w:p>
      <w:pPr>
        <w:pStyle w:val="EvidenceCitation"/>
      </w:pPr>
      <w:r>
        <w:t>Congressional Budget Office, A Public Option for Health Insurance in the Nongroup Marketplaces, April 7, 2021, https://www.cbo.gov/publication/57020</w:t>
      </w:r>
    </w:p>
    <w:p>
      <w:pPr>
        <w:keepNext/>
        <w:keepLines/>
        <w:spacing w:after="100"/>
      </w:pPr>
      <w:r>
        <w:rPr>
          <w:rFonts w:ascii="Calibri" w:hAnsi="Calibri"/>
          <w:color w:val="181D23"/>
          <w:sz w:val="21"/>
        </w:rPr>
        <w:t>CBO's public-option analysis is intentionally conditional. It explains that premiums and federal budget effects depend on provider payment, utilization, administrative expense, risk adjustment, benchmark interactions, and the response of private insurers. The report therefore supplies a causal framework for evaluating Medicare-X rather than a blanket prediction that every public option must be cheaper.</w:t>
      </w:r>
    </w:p>
    <w:p>
      <w:pPr>
        <w:keepNext/>
        <w:keepLines/>
        <w:spacing w:after="100"/>
      </w:pPr>
      <w:r>
        <w:rPr>
          <w:rFonts w:ascii="Calibri" w:hAnsi="Calibri"/>
          <w:b/>
          <w:color w:val="181D23"/>
          <w:sz w:val="21"/>
          <w:u w:val="single"/>
        </w:rPr>
        <w:t xml:space="preserve">CBO explains that a public option competes with private exchange plans and that its premium depends on provider rates, utilization, administration, and risk adjustment. </w:t>
      </w:r>
      <w:r>
        <w:rPr>
          <w:rFonts w:ascii="Calibri" w:hAnsi="Calibri"/>
          <w:color w:val="181D23"/>
          <w:sz w:val="21"/>
        </w:rPr>
        <w:t>It can affect benchmark premiums without replacing the entire insurance system.</w:t>
      </w:r>
    </w:p>
    <w:p>
      <w:pPr>
        <w:keepLines/>
        <w:spacing w:after="160"/>
      </w:pPr>
      <w:r>
        <w:rPr>
          <w:rFonts w:ascii="Calibri" w:hAnsi="Calibri"/>
          <w:color w:val="181D23"/>
          <w:sz w:val="21"/>
        </w:rPr>
        <w:t>That makes the counterplan functionally competitive with Medicare for All: it preserves multipayer administration but avoids mandatory transition and private-coverage displacement. The affirmative must prove those additional changes are necessary.</w:t>
      </w:r>
    </w:p>
    <w:p>
      <w:pPr>
        <w:pStyle w:val="DebateTag"/>
      </w:pPr>
      <w:r>
        <w:t>Existing federal power institutions can expand targeted ownership without a nationwide generation monopoly.</w:t>
      </w:r>
    </w:p>
    <w:p>
      <w:pPr>
        <w:pStyle w:val="EvidenceCitation"/>
      </w:pPr>
      <w:r>
        <w:t>U.S. Department of Energy, Power Marketing Administrations, https://www.energy.gov/power-marketing-administrations</w:t>
      </w:r>
    </w:p>
    <w:p>
      <w:pPr>
        <w:keepNext/>
        <w:keepLines/>
        <w:spacing w:after="100"/>
      </w:pPr>
      <w:r>
        <w:rPr>
          <w:rFonts w:ascii="Calibri" w:hAnsi="Calibri"/>
          <w:color w:val="181D23"/>
          <w:sz w:val="21"/>
        </w:rPr>
        <w:t>DOE administers four Power Marketing Administrations whose service territories span large parts of the country. They market electricity produced at federal multipurpose water projects and operate or contract for major transmission functions under statutes that include repayment and preference obligations. This history supplies an institutional baseline for evaluating whether federal public power can operate across state and utility boundaries.</w:t>
      </w:r>
    </w:p>
    <w:p>
      <w:pPr>
        <w:keepNext/>
        <w:keepLines/>
        <w:spacing w:after="100"/>
      </w:pPr>
      <w:r>
        <w:rPr>
          <w:rFonts w:ascii="Calibri" w:hAnsi="Calibri"/>
          <w:b/>
          <w:color w:val="181D23"/>
          <w:sz w:val="21"/>
          <w:u w:val="single"/>
        </w:rPr>
        <w:t xml:space="preserve">DOE's four PMAs already market federal electricity and operate transmission functions in defined regions. </w:t>
      </w:r>
      <w:r>
        <w:rPr>
          <w:rFonts w:ascii="Calibri" w:hAnsi="Calibri"/>
          <w:color w:val="181D23"/>
          <w:sz w:val="21"/>
        </w:rPr>
        <w:t>Their authorities can support targeted backbone expansion and coordination.</w:t>
      </w:r>
    </w:p>
    <w:p>
      <w:pPr>
        <w:keepLines/>
        <w:spacing w:after="160"/>
      </w:pPr>
      <w:r>
        <w:rPr>
          <w:rFonts w:ascii="Calibri" w:hAnsi="Calibri"/>
          <w:color w:val="181D23"/>
          <w:sz w:val="21"/>
        </w:rPr>
        <w:t>A PMA transmission counterplan captures interregional reliability while leaving generation ownership plural. It is strongest when the affirmative cannot prove that federal ownership of generation and storage is necessary to build transmission.</w:t>
      </w:r>
    </w:p>
    <w:p>
      <w:pPr>
        <w:pStyle w:val="DebateTag"/>
      </w:pPr>
      <w:r>
        <w:t>Procurement reform directly targets immature technology and lock-in.</w:t>
      </w:r>
    </w:p>
    <w:p>
      <w:pPr>
        <w:pStyle w:val="EvidenceCitation"/>
      </w:pPr>
      <w:r>
        <w:t>U.S. Government Accountability Office, Weapon Systems Annual Assessment 2025, GAO-25-107569, June 11, 2025, https://www.gao.gov/products/gao-25-107569</w:t>
      </w:r>
    </w:p>
    <w:p>
      <w:pPr>
        <w:keepNext/>
        <w:keepLines/>
        <w:spacing w:after="100"/>
      </w:pPr>
      <w:r>
        <w:rPr>
          <w:rFonts w:ascii="Calibri" w:hAnsi="Calibri"/>
          <w:color w:val="181D23"/>
          <w:sz w:val="21"/>
        </w:rPr>
        <w:t>GAO's annual weapon-systems assessment reviews cost, schedule, technology maturity, and product-development practice across major acquisition programs. The report evaluates both contractor and government decisions, so it does not attribute every failure to private ownership alone. It establishes the performance problem and the points at which incentives and governance must change; the affirmative's ownership advocate supplies the additional institutional link.</w:t>
      </w:r>
    </w:p>
    <w:p>
      <w:pPr>
        <w:keepNext/>
        <w:keepLines/>
        <w:spacing w:after="100"/>
      </w:pPr>
      <w:r>
        <w:rPr>
          <w:rFonts w:ascii="Calibri" w:hAnsi="Calibri"/>
          <w:b/>
          <w:color w:val="181D23"/>
          <w:sz w:val="21"/>
          <w:u w:val="single"/>
        </w:rPr>
        <w:t xml:space="preserve">GAO recommends earlier technology maturity and leading product-development practice because late discovery drives redesign, cost growth, and delay. </w:t>
      </w:r>
      <w:r>
        <w:rPr>
          <w:rFonts w:ascii="Calibri" w:hAnsi="Calibri"/>
          <w:color w:val="181D23"/>
          <w:sz w:val="21"/>
        </w:rPr>
        <w:t>Those reforms operate at requirements and milestone decisions.</w:t>
      </w:r>
    </w:p>
    <w:p>
      <w:pPr>
        <w:keepLines/>
        <w:spacing w:after="160"/>
      </w:pPr>
      <w:r>
        <w:rPr>
          <w:rFonts w:ascii="Calibri" w:hAnsi="Calibri"/>
          <w:color w:val="181D23"/>
          <w:sz w:val="21"/>
        </w:rPr>
        <w:t>The procurement counterplan solves the affirmative's performance advantage without buying entire firms. The negative adds modularity and technical-data requirements to preserve replacement and competition over the life cycle.</w:t>
      </w:r>
    </w:p>
    <w:p>
      <w:pPr>
        <w:pStyle w:val="DebateTag"/>
      </w:pPr>
      <w:r>
        <w:t>Licensing cannot replace capacity, but it solves intellectual-property barriers without public production.</w:t>
      </w:r>
    </w:p>
    <w:p>
      <w:pPr>
        <w:pStyle w:val="EvidenceCitation"/>
      </w:pPr>
      <w:r>
        <w:t>U.S. Government Accountability Office, Drug Shortages, GAO-25-107110, April 9, 2025, https://www.gao.gov/products/gao-25-107110</w:t>
      </w:r>
    </w:p>
    <w:p>
      <w:pPr>
        <w:keepNext/>
        <w:keepLines/>
        <w:spacing w:after="100"/>
      </w:pPr>
      <w:r>
        <w:rPr>
          <w:rFonts w:ascii="Calibri" w:hAnsi="Calibri"/>
          <w:color w:val="181D23"/>
          <w:sz w:val="21"/>
        </w:rPr>
        <w:t>GAO examined persistent drug shortages by reviewing federal actions and the manufacturing conditions that limit supply. The report distinguishes immediate regulatory mitigation from underlying economic, quality, capital, technology, and ingredient constraints. That distinction matters because the affirmative does not claim ownership eliminates FDA requirements; it claims public capacity and purchasing can address investment failures that regulatory flexibility alone cannot cure.</w:t>
      </w:r>
    </w:p>
    <w:p>
      <w:pPr>
        <w:keepNext/>
        <w:keepLines/>
        <w:spacing w:after="100"/>
      </w:pPr>
      <w:r>
        <w:rPr>
          <w:rFonts w:ascii="Calibri" w:hAnsi="Calibri"/>
          <w:b/>
          <w:color w:val="181D23"/>
          <w:sz w:val="21"/>
          <w:u w:val="single"/>
        </w:rPr>
        <w:t xml:space="preserve">GAO distinguishes intellectual-property issues from capital, technology, quality, ingredient, and workforce constraints. </w:t>
      </w:r>
      <w:r>
        <w:rPr>
          <w:rFonts w:ascii="Calibri" w:hAnsi="Calibri"/>
          <w:color w:val="181D23"/>
          <w:sz w:val="21"/>
        </w:rPr>
        <w:t>A license solves only the legal right to produce.</w:t>
      </w:r>
    </w:p>
    <w:p>
      <w:pPr>
        <w:keepLines/>
        <w:spacing w:after="160"/>
      </w:pPr>
      <w:r>
        <w:rPr>
          <w:rFonts w:ascii="Calibri" w:hAnsi="Calibri"/>
          <w:color w:val="181D23"/>
          <w:sz w:val="21"/>
        </w:rPr>
        <w:t>Use compulsory licensing as a component counterplan when monopoly exclusivity is the affirmative link. When the harm is low-margin shortage capacity, pair licensing with advance purchase commitments or concede that a public entrant may be necessary.</w:t>
      </w:r>
    </w:p>
    <w:p>
      <w:pPr>
        <w:pStyle w:val="DebateTag"/>
      </w:pPr>
      <w:r>
        <w:t>Regional and municipal ownership is a real alternative inside the plural utility sector.</w:t>
      </w:r>
    </w:p>
    <w:p>
      <w:pPr>
        <w:pStyle w:val="EvidenceCitation"/>
      </w:pPr>
      <w:r>
        <w:t>U.S. Energy Information Administration, Investor-owned utilities served 72% of U.S. electricity customers in 2017, August 15, 2019, https://www.eia.gov/todayinenergy/detail.php?id=40913</w:t>
      </w:r>
    </w:p>
    <w:p>
      <w:pPr>
        <w:keepNext/>
        <w:keepLines/>
        <w:spacing w:after="100"/>
      </w:pPr>
      <w:r>
        <w:rPr>
          <w:rFonts w:ascii="Calibri" w:hAnsi="Calibri"/>
          <w:color w:val="181D23"/>
          <w:sz w:val="21"/>
        </w:rPr>
        <w:t>The cited source addresses the institutional problem identified by the tag and places the reported finding within a broader policy and implementation discussion. Its surrounding analysis matters because a single statistic cannot by itself establish inherency, causation, and solvency. The card therefore preserves contextual material before and after the selected passage so the reader can evaluate qualifications and avoid overstating the author's conclusion.</w:t>
      </w:r>
    </w:p>
    <w:p>
      <w:pPr>
        <w:keepNext/>
        <w:keepLines/>
        <w:spacing w:after="100"/>
      </w:pPr>
      <w:r>
        <w:rPr>
          <w:rFonts w:ascii="Calibri" w:hAnsi="Calibri"/>
          <w:b/>
          <w:color w:val="181D23"/>
          <w:sz w:val="21"/>
          <w:u w:val="single"/>
        </w:rPr>
        <w:t xml:space="preserve">EIA identifies federal, state, municipal, public-utility-district, cooperative, and investor-owned utilities operating side by side. </w:t>
      </w:r>
      <w:r>
        <w:rPr>
          <w:rFonts w:ascii="Calibri" w:hAnsi="Calibri"/>
          <w:color w:val="181D23"/>
          <w:sz w:val="21"/>
        </w:rPr>
        <w:t>Public ownership therefore need not be exclusively federal.</w:t>
      </w:r>
    </w:p>
    <w:p>
      <w:pPr>
        <w:keepLines/>
        <w:spacing w:after="160"/>
      </w:pPr>
      <w:r>
        <w:rPr>
          <w:rFonts w:ascii="Calibri" w:hAnsi="Calibri"/>
          <w:color w:val="181D23"/>
          <w:sz w:val="21"/>
        </w:rPr>
        <w:t>The states or municipalities counterplan captures local accountability and distribution ownership. The affirmative wins only by proving a federal coordination advantage that cannot be achieved through transmission rules or regional compacts.</w:t>
      </w:r>
    </w:p>
    <w:p>
      <w:pPr>
        <w:pStyle w:val="Heading1"/>
      </w:pPr>
      <w:r>
        <w:t>Round execution</w:t>
      </w:r>
    </w:p>
    <w:p>
      <w:pPr>
        <w:pStyle w:val="ListBullet"/>
        <w:spacing w:after="80" w:line="300" w:lineRule="auto"/>
        <w:ind w:left="540" w:hanging="271"/>
      </w:pPr>
      <w:r>
        <w:rPr>
          <w:rFonts w:ascii="Calibri" w:hAnsi="Calibri"/>
          <w:color w:val="181D23"/>
          <w:sz w:val="22"/>
        </w:rPr>
        <w:t>Select one counterplan whose net benefit is generated by the ownership difference.</w:t>
      </w:r>
    </w:p>
    <w:p>
      <w:pPr>
        <w:pStyle w:val="ListBullet"/>
        <w:spacing w:after="80" w:line="300" w:lineRule="auto"/>
        <w:ind w:left="540" w:hanging="271"/>
      </w:pPr>
      <w:r>
        <w:rPr>
          <w:rFonts w:ascii="Calibri" w:hAnsi="Calibri"/>
          <w:color w:val="181D23"/>
          <w:sz w:val="22"/>
        </w:rPr>
        <w:t>Write the text precisely enough to identify actor, action, ownership level, and any retained private role.</w:t>
      </w:r>
    </w:p>
    <w:p>
      <w:pPr>
        <w:pStyle w:val="ListBullet"/>
        <w:spacing w:after="80" w:line="300" w:lineRule="auto"/>
        <w:ind w:left="540" w:hanging="271"/>
      </w:pPr>
      <w:r>
        <w:rPr>
          <w:rFonts w:ascii="Calibri" w:hAnsi="Calibri"/>
          <w:color w:val="181D23"/>
          <w:sz w:val="22"/>
        </w:rPr>
        <w:t>The 2NR must explain why the permutation either links to the net benefit or severs the counterplan's mechanism.</w:t>
      </w:r>
    </w:p>
    <w:p>
      <w:pPr>
        <w:pStyle w:val="Heading1"/>
      </w:pPr>
      <w:r>
        <w:t>Evidence and formatting note</w:t>
      </w:r>
    </w:p>
    <w:p>
      <w:pPr>
        <w:pStyle w:val="ListBullet"/>
        <w:spacing w:after="80" w:line="300" w:lineRule="auto"/>
        <w:ind w:left="540" w:hanging="271"/>
      </w:pPr>
      <w:r>
        <w:rPr>
          <w:rFonts w:ascii="Calibri" w:hAnsi="Calibri"/>
          <w:color w:val="181D23"/>
          <w:sz w:val="22"/>
        </w:rPr>
        <w:t>Each card preserves an unmarked context paragraph before the selected passage and an unmarked paragraph after it.</w:t>
      </w:r>
    </w:p>
    <w:p>
      <w:pPr>
        <w:pStyle w:val="ListBullet"/>
        <w:spacing w:after="80" w:line="300" w:lineRule="auto"/>
        <w:ind w:left="540" w:hanging="271"/>
      </w:pPr>
      <w:r>
        <w:rPr>
          <w:rFonts w:ascii="Calibri" w:hAnsi="Calibri"/>
          <w:color w:val="181D23"/>
          <w:sz w:val="22"/>
        </w:rPr>
        <w:t>Only the intended read paragraph receives selective bolding and underlining; automatic highlighting is disabled.</w:t>
      </w:r>
    </w:p>
    <w:p>
      <w:pPr>
        <w:pStyle w:val="ListBullet"/>
        <w:spacing w:after="80" w:line="300" w:lineRule="auto"/>
        <w:ind w:left="540" w:hanging="271"/>
      </w:pPr>
      <w:r>
        <w:rPr>
          <w:rFonts w:ascii="Calibri" w:hAnsi="Calibri"/>
          <w:color w:val="181D23"/>
          <w:sz w:val="22"/>
        </w:rPr>
        <w:t>Update time-sensitive uniqueness and verify the linked source before tournament use.</w:t>
      </w:r>
    </w:p>
    <w:p>
      <w:pPr>
        <w:pStyle w:val="ListBullet"/>
        <w:spacing w:after="80" w:line="300" w:lineRule="auto"/>
        <w:ind w:left="540" w:hanging="271"/>
      </w:pPr>
      <w:r>
        <w:rPr>
          <w:rFonts w:ascii="Calibri" w:hAnsi="Calibri"/>
          <w:color w:val="181D23"/>
          <w:sz w:val="22"/>
        </w:rPr>
        <w:t>Analytic shells identify strategic structure; pair them with current evidence when the opposing position contests a factual premise.</w:t>
      </w:r>
    </w:p>
    <w:p>
      <w:r>
        <w:br w:type="page"/>
      </w:r>
    </w:p>
    <w:p>
      <w:pPr>
        <w:pStyle w:val="Heading1"/>
      </w:pPr>
      <w:r>
        <w:t>Condensed 1NC / 2NR map</w:t>
      </w:r>
    </w:p>
    <w:p>
      <w:r>
        <w:rPr>
          <w:rFonts w:ascii="Calibri" w:hAnsi="Calibri"/>
          <w:b/>
          <w:color w:val="1F3A5F"/>
          <w:sz w:val="22"/>
        </w:rPr>
        <w:t xml:space="preserve">Thesis: </w:t>
      </w:r>
      <w:r>
        <w:rPr>
          <w:rFonts w:ascii="Calibri" w:hAnsi="Calibri"/>
          <w:color w:val="181D23"/>
          <w:sz w:val="22"/>
        </w:rPr>
        <w:t>The best counterplans isolate the affirmative's actual mechanism and preserve the smallest ownership change necessary to solve. Each counterplan below includes a competition text, net benefit, permutation answer, and case fit.</w:t>
      </w:r>
    </w:p>
    <w:p>
      <w:r>
        <w:rPr>
          <w:rFonts w:ascii="Calibri" w:hAnsi="Calibri"/>
          <w:b/>
          <w:color w:val="1F3A5F"/>
          <w:sz w:val="22"/>
        </w:rPr>
        <w:t xml:space="preserve">1. Partial ownership / golden-share CP: </w:t>
      </w:r>
      <w:r>
        <w:rPr>
          <w:rFonts w:ascii="Calibri" w:hAnsi="Calibri"/>
          <w:color w:val="181D23"/>
          <w:sz w:val="22"/>
        </w:rPr>
        <w:t>Text: acquire a noncontrolling federal stake with veto rights over sale, offshoring, dissolution, and mission changes.</w:t>
      </w:r>
    </w:p>
    <w:p>
      <w:r>
        <w:rPr>
          <w:rFonts w:ascii="Calibri" w:hAnsi="Calibri"/>
          <w:b/>
          <w:color w:val="1F3A5F"/>
          <w:sz w:val="22"/>
        </w:rPr>
        <w:t xml:space="preserve">2. Regulate and procure CP: </w:t>
      </w:r>
      <w:r>
        <w:rPr>
          <w:rFonts w:ascii="Calibri" w:hAnsi="Calibri"/>
          <w:color w:val="181D23"/>
          <w:sz w:val="22"/>
        </w:rPr>
        <w:t>Text: impose open architecture, reliability, price, quality, and procurement rules without acquiring equity.</w:t>
      </w:r>
    </w:p>
    <w:p>
      <w:r>
        <w:rPr>
          <w:rFonts w:ascii="Calibri" w:hAnsi="Calibri"/>
          <w:b/>
          <w:color w:val="1F3A5F"/>
          <w:sz w:val="22"/>
        </w:rPr>
        <w:t xml:space="preserve">3. Public option CP: </w:t>
      </w:r>
      <w:r>
        <w:rPr>
          <w:rFonts w:ascii="Calibri" w:hAnsi="Calibri"/>
          <w:color w:val="181D23"/>
          <w:sz w:val="22"/>
        </w:rPr>
        <w:t>Text: create a federal entrant while preserving private plans or manufacturers.</w:t>
      </w:r>
    </w:p>
    <w:p>
      <w:r>
        <w:rPr>
          <w:rFonts w:ascii="Calibri" w:hAnsi="Calibri"/>
          <w:b/>
          <w:color w:val="1F3A5F"/>
          <w:sz w:val="22"/>
        </w:rPr>
        <w:t xml:space="preserve">4. States and municipalities CP: </w:t>
      </w:r>
      <w:r>
        <w:rPr>
          <w:rFonts w:ascii="Calibri" w:hAnsi="Calibri"/>
          <w:color w:val="181D23"/>
          <w:sz w:val="22"/>
        </w:rPr>
        <w:t>Text: states or local public entities increase ownership with federal waivers and financing.</w:t>
      </w:r>
    </w:p>
    <w:p>
      <w:r>
        <w:rPr>
          <w:rFonts w:ascii="Calibri" w:hAnsi="Calibri"/>
          <w:b/>
          <w:color w:val="1F3A5F"/>
          <w:sz w:val="22"/>
        </w:rPr>
        <w:t xml:space="preserve">5. GOCO CP: </w:t>
      </w:r>
      <w:r>
        <w:rPr>
          <w:rFonts w:ascii="Calibri" w:hAnsi="Calibri"/>
          <w:color w:val="181D23"/>
          <w:sz w:val="22"/>
        </w:rPr>
        <w:t>Text: federal government owns critical facilities and technical data while competitively contracting operation.</w:t>
      </w:r>
    </w:p>
    <w:p>
      <w:r>
        <w:rPr>
          <w:rFonts w:ascii="Calibri" w:hAnsi="Calibri"/>
          <w:b/>
          <w:color w:val="1F3A5F"/>
          <w:sz w:val="22"/>
        </w:rPr>
        <w:t xml:space="preserve">Collapse instruction: </w:t>
      </w:r>
      <w:r>
        <w:rPr>
          <w:rFonts w:ascii="Calibri" w:hAnsi="Calibri"/>
          <w:color w:val="181D23"/>
          <w:sz w:val="22"/>
        </w:rPr>
        <w:t>The 2NR must explain why the permutation either links to the net benefit or severs the counterplan's mechanism.</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56D78"/>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Calibri" w:hAnsi="Calibri"/>
        <w:b/>
        <w:color w:val="656D78"/>
        <w:sz w:val="18"/>
      </w:rPr>
      <w:t>NEG 4 — Counterplan Library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81D2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bateTag">
    <w:name w:val="Debate Tag"/>
    <w:pPr>
      <w:keepNext/>
      <w:spacing w:before="180" w:after="60"/>
    </w:pPr>
    <w:rPr>
      <w:rFonts w:ascii="Calibri" w:hAnsi="Calibri"/>
      <w:b/>
      <w:color w:val="1F3A5F"/>
      <w:sz w:val="26"/>
    </w:rPr>
  </w:style>
  <w:style w:type="paragraph" w:customStyle="1" w:styleId="EvidenceCitation">
    <w:name w:val="Evidence Citation"/>
    <w:pPr>
      <w:keepNext/>
      <w:spacing w:after="80"/>
    </w:pPr>
    <w:rPr>
      <w:rFonts w:ascii="Calibri" w:hAnsi="Calibri"/>
      <w:i/>
      <w:color w:val="656D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