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2 — Fiscal and Transition Disadvantages</w:t>
      </w:r>
    </w:p>
    <w:p>
      <w:pPr>
        <w:spacing w:after="240"/>
        <w:pBdr>
          <w:bottom w:val="single" w:sz="8" w:space="8" w:color="2E74B5"/>
        </w:pBdr>
      </w:pPr>
      <w:r>
        <w:rPr>
          <w:rFonts w:ascii="Calibri" w:hAnsi="Calibri"/>
          <w:i/>
          <w:color w:val="656D78"/>
          <w:sz w:val="24"/>
        </w:rPr>
        <w:t>Acquisition cost | Federal borrowing | Administrative conversion | Service disruption</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Nationalization concentrates large acquisition and implementation costs at the federal level. Even when social spending is displaced, rapid conversion can increase borrowing, crowd out other priorities, and disrupt essential services before new public governance stabilizes.</w:t>
      </w:r>
    </w:p>
    <w:p>
      <w:pPr>
        <w:pStyle w:val="Heading1"/>
      </w:pPr>
      <w:r>
        <w:t>Argument outlines</w:t>
      </w:r>
    </w:p>
    <w:p>
      <w:pPr>
        <w:pStyle w:val="Heading2"/>
      </w:pPr>
      <w:r>
        <w:t>Fiscal capacity DA</w:t>
      </w:r>
    </w:p>
    <w:p>
      <w:pPr>
        <w:pStyle w:val="ListBullet"/>
        <w:spacing w:after="80" w:line="300" w:lineRule="auto"/>
        <w:ind w:left="540" w:hanging="271"/>
      </w:pPr>
      <w:r>
        <w:rPr>
          <w:rFonts w:ascii="Calibri" w:hAnsi="Calibri"/>
          <w:color w:val="181D23"/>
          <w:sz w:val="22"/>
        </w:rPr>
        <w:t>Uniqueness: federal debt and interest costs constrain fiscal space.</w:t>
      </w:r>
    </w:p>
    <w:p>
      <w:pPr>
        <w:pStyle w:val="ListBullet"/>
        <w:spacing w:after="80" w:line="300" w:lineRule="auto"/>
        <w:ind w:left="540" w:hanging="271"/>
      </w:pPr>
      <w:r>
        <w:rPr>
          <w:rFonts w:ascii="Calibri" w:hAnsi="Calibri"/>
          <w:color w:val="181D23"/>
          <w:sz w:val="22"/>
        </w:rPr>
        <w:t>Link: buyouts, capitalization, transition administration, and reserve funding require large up-front federal commitments.</w:t>
      </w:r>
    </w:p>
    <w:p>
      <w:pPr>
        <w:pStyle w:val="ListBullet"/>
        <w:spacing w:after="80" w:line="300" w:lineRule="auto"/>
        <w:ind w:left="540" w:hanging="271"/>
      </w:pPr>
      <w:r>
        <w:rPr>
          <w:rFonts w:ascii="Calibri" w:hAnsi="Calibri"/>
          <w:color w:val="181D23"/>
          <w:sz w:val="22"/>
        </w:rPr>
        <w:t>Internal link: additional borrowing raises interest costs and reduces room for emergency response or productive investment.</w:t>
      </w:r>
    </w:p>
    <w:p>
      <w:pPr>
        <w:pStyle w:val="ListBullet"/>
        <w:spacing w:after="80" w:line="300" w:lineRule="auto"/>
        <w:ind w:left="540" w:hanging="271"/>
      </w:pPr>
      <w:r>
        <w:rPr>
          <w:rFonts w:ascii="Calibri" w:hAnsi="Calibri"/>
          <w:color w:val="181D23"/>
          <w:sz w:val="22"/>
        </w:rPr>
        <w:t>Impact: weaker fiscal capacity magnifies recession, disaster, and security shocks.</w:t>
      </w:r>
    </w:p>
    <w:p>
      <w:pPr>
        <w:pStyle w:val="Heading2"/>
      </w:pPr>
      <w:r>
        <w:t>Transition shock DA</w:t>
      </w:r>
    </w:p>
    <w:p>
      <w:pPr>
        <w:pStyle w:val="ListBullet"/>
        <w:spacing w:after="80" w:line="300" w:lineRule="auto"/>
        <w:ind w:left="540" w:hanging="271"/>
      </w:pPr>
      <w:r>
        <w:rPr>
          <w:rFonts w:ascii="Calibri" w:hAnsi="Calibri"/>
          <w:color w:val="181D23"/>
          <w:sz w:val="22"/>
        </w:rPr>
        <w:t>Uniqueness: current systems are imperfect but operational.</w:t>
      </w:r>
    </w:p>
    <w:p>
      <w:pPr>
        <w:pStyle w:val="ListBullet"/>
        <w:spacing w:after="80" w:line="300" w:lineRule="auto"/>
        <w:ind w:left="540" w:hanging="271"/>
      </w:pPr>
      <w:r>
        <w:rPr>
          <w:rFonts w:ascii="Calibri" w:hAnsi="Calibri"/>
          <w:color w:val="181D23"/>
          <w:sz w:val="22"/>
        </w:rPr>
        <w:t>Link: ownership conversion changes contracts, payment systems, networks, governance, personnel authority, and compliance responsibilities at once.</w:t>
      </w:r>
    </w:p>
    <w:p>
      <w:pPr>
        <w:pStyle w:val="ListBullet"/>
        <w:spacing w:after="80" w:line="300" w:lineRule="auto"/>
        <w:ind w:left="540" w:hanging="271"/>
      </w:pPr>
      <w:r>
        <w:rPr>
          <w:rFonts w:ascii="Calibri" w:hAnsi="Calibri"/>
          <w:color w:val="181D23"/>
          <w:sz w:val="22"/>
        </w:rPr>
        <w:t>Internal link: incomplete data migration and unclear authority delay claims, procurement, production, or grid decisions.</w:t>
      </w:r>
    </w:p>
    <w:p>
      <w:pPr>
        <w:pStyle w:val="ListBullet"/>
        <w:spacing w:after="80" w:line="300" w:lineRule="auto"/>
        <w:ind w:left="540" w:hanging="271"/>
      </w:pPr>
      <w:r>
        <w:rPr>
          <w:rFonts w:ascii="Calibri" w:hAnsi="Calibri"/>
          <w:color w:val="181D23"/>
          <w:sz w:val="22"/>
        </w:rPr>
        <w:t>Impact: disruption occurs in essential services where short interruptions impose immediate human costs.</w:t>
      </w:r>
    </w:p>
    <w:p>
      <w:pPr>
        <w:pStyle w:val="Heading1"/>
      </w:pPr>
      <w:r>
        <w:t>Negative evidence</w:t>
      </w:r>
    </w:p>
    <w:p>
      <w:pPr>
        <w:pStyle w:val="DebateTag"/>
      </w:pPr>
      <w:r>
        <w:t>High and rising federal debt reduces fiscal flexibility and increases interest exposure.</w:t>
      </w:r>
    </w:p>
    <w:p>
      <w:pPr>
        <w:pStyle w:val="EvidenceCitation"/>
      </w:pPr>
      <w:r>
        <w:t>Congressional Budget Office, The Long-Term Budget Outlook: 2025 to 2055, March 27, 2025, https://www.cbo.gov/publication/61187</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CBO projects that debt held by the public rises relative to the economy under current policy, while net interest becomes a growing share of federal spending. </w:t>
      </w:r>
      <w:r>
        <w:rPr>
          <w:rFonts w:ascii="Calibri" w:hAnsi="Calibri"/>
          <w:color w:val="181D23"/>
          <w:sz w:val="21"/>
        </w:rPr>
        <w:t>Higher debt increases exposure to interest-rate changes and limits policymakers' flexibility.</w:t>
      </w:r>
    </w:p>
    <w:p>
      <w:pPr>
        <w:keepLines/>
        <w:spacing w:after="160"/>
      </w:pPr>
      <w:r>
        <w:rPr>
          <w:rFonts w:ascii="Calibri" w:hAnsi="Calibri"/>
          <w:color w:val="181D23"/>
          <w:sz w:val="21"/>
        </w:rPr>
        <w:t>Nationalization costs must be evaluated at the margin. Replacing private spending can reduce social cost, but acquisitions, capitalization, and transition reserves still arrive as federal obligations before long-run savings are realized.</w:t>
      </w:r>
    </w:p>
    <w:p>
      <w:pPr>
        <w:pStyle w:val="DebateTag"/>
      </w:pPr>
      <w:r>
        <w:t>Federal borrowing can crowd out private investment and reduce future output.</w:t>
      </w:r>
    </w:p>
    <w:p>
      <w:pPr>
        <w:pStyle w:val="EvidenceCitation"/>
      </w:pPr>
      <w:r>
        <w:t>Congressional Budget Office, The Economic Effects of Waiting to Stabilize Federal Debt, December 2022, https://www.cbo.gov/publication/58541</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CBO explains that greater federal borrowing absorbs funds that otherwise support private capital formation. </w:t>
      </w:r>
      <w:r>
        <w:rPr>
          <w:rFonts w:ascii="Calibri" w:hAnsi="Calibri"/>
          <w:color w:val="181D23"/>
          <w:sz w:val="21"/>
        </w:rPr>
        <w:t>Over time, lower investment reduces productive capacity and national income, although near-term effects depend on economic conditions.</w:t>
      </w:r>
    </w:p>
    <w:p>
      <w:pPr>
        <w:keepLines/>
        <w:spacing w:after="160"/>
      </w:pPr>
      <w:r>
        <w:rPr>
          <w:rFonts w:ascii="Calibri" w:hAnsi="Calibri"/>
          <w:color w:val="181D23"/>
          <w:sz w:val="21"/>
        </w:rPr>
        <w:t>The negative should quantify the link instead of treating every dollar as catastrophic. The strongest version compares the plan's up-front acquisition and buildout schedule with a narrower counterplan that captures benefits at lower federal balance-sheet risk.</w:t>
      </w:r>
    </w:p>
    <w:p>
      <w:pPr>
        <w:pStyle w:val="DebateTag"/>
      </w:pPr>
      <w:r>
        <w:t>Large public-program transitions require integrated data, staffing, payment, and oversight plans.</w:t>
      </w:r>
    </w:p>
    <w:p>
      <w:pPr>
        <w:pStyle w:val="EvidenceCitation"/>
      </w:pPr>
      <w:r>
        <w:t>U.S. Government Accountability Office, Government Reorganization: Key Questions to Assess Agency Reform Efforts, GAO-18-427, June 13, 2018, https://www.gao.gov/products/gao-18-427</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GAO identifies clear goals, leadership, workforce planning, stakeholder engagement, performance measures, and implementation capacity as recurring requirements for successful federal reorganizations. </w:t>
      </w:r>
      <w:r>
        <w:rPr>
          <w:rFonts w:ascii="Calibri" w:hAnsi="Calibri"/>
          <w:color w:val="181D23"/>
          <w:sz w:val="21"/>
        </w:rPr>
        <w:t>Reorganization without those elements creates duplication, gaps, and accountability failures.</w:t>
      </w:r>
    </w:p>
    <w:p>
      <w:pPr>
        <w:keepLines/>
        <w:spacing w:after="160"/>
      </w:pPr>
      <w:r>
        <w:rPr>
          <w:rFonts w:ascii="Calibri" w:hAnsi="Calibri"/>
          <w:color w:val="181D23"/>
          <w:sz w:val="21"/>
        </w:rPr>
        <w:t>Every affirmative changes authority inside an essential industry. The transition disadvantage is strongest when the plan text leaves timing, legacy contracts, data migration, and operational continuity to unspecified normal means.</w:t>
      </w:r>
    </w:p>
    <w:p>
      <w:pPr>
        <w:pStyle w:val="DebateTag"/>
      </w:pPr>
      <w:r>
        <w:t>Complex health-system conversion can increase demand before supply adjusts.</w:t>
      </w:r>
    </w:p>
    <w:p>
      <w:pPr>
        <w:pStyle w:val="EvidenceCitation"/>
      </w:pPr>
      <w:r>
        <w:t>Congressional Budget Office, How CBO Analyzes Proposals for a Single-Payer Health Care System, Working Paper 2020-08, December 2020, https://www.cbo.gov/publication/56811</w:t>
      </w:r>
    </w:p>
    <w:p>
      <w:pPr>
        <w:keepNext/>
        <w:keepLines/>
        <w:spacing w:after="100"/>
      </w:pPr>
      <w:r>
        <w:rPr>
          <w:rFonts w:ascii="Calibri" w:hAnsi="Calibri"/>
          <w:color w:val="181D23"/>
          <w:sz w:val="21"/>
        </w:rPr>
        <w:t>CBO evaluates illustrative single-payer systems rather than scoring one final enacted bill. The agency varies provider payment, cost sharing, covered benefits, and other design choices, then estimates how coverage, use, administrative spending, and total national health expenditures respond. That structure is important context: the evidence supports conditional comparisons and identifies mechanisms, but it does not claim every imaginable single-payer design produces the same fiscal result.</w:t>
      </w:r>
    </w:p>
    <w:p>
      <w:pPr>
        <w:keepNext/>
        <w:keepLines/>
        <w:spacing w:after="100"/>
      </w:pPr>
      <w:r>
        <w:rPr>
          <w:rFonts w:ascii="Calibri" w:hAnsi="Calibri"/>
          <w:b/>
          <w:color w:val="181D23"/>
          <w:sz w:val="21"/>
          <w:u w:val="single"/>
        </w:rPr>
        <w:t xml:space="preserve">CBO finds that lower financial barriers increase use of medical care, while provider supply responds more slowly. </w:t>
      </w:r>
      <w:r>
        <w:rPr>
          <w:rFonts w:ascii="Calibri" w:hAnsi="Calibri"/>
          <w:color w:val="181D23"/>
          <w:sz w:val="21"/>
        </w:rPr>
        <w:t>When demand grows faster than supply, congestion appears as delay or forgone care.</w:t>
      </w:r>
    </w:p>
    <w:p>
      <w:pPr>
        <w:keepLines/>
        <w:spacing w:after="160"/>
      </w:pPr>
      <w:r>
        <w:rPr>
          <w:rFonts w:ascii="Calibri" w:hAnsi="Calibri"/>
          <w:color w:val="181D23"/>
          <w:sz w:val="21"/>
        </w:rPr>
        <w:t>That mechanism is a transition impact rather than a reason to preserve uninsurance. The negative wins it by showing the counterplan expands coverage gradually or targets capacity first, producing access gains without a sudden nationwide conversion.</w:t>
      </w:r>
    </w:p>
    <w:p>
      <w:pPr>
        <w:pStyle w:val="DebateTag"/>
      </w:pPr>
      <w:r>
        <w:t>Drug and defense capacity cannot be transferred without preserving validated processes and skilled workforces.</w:t>
      </w:r>
    </w:p>
    <w:p>
      <w:pPr>
        <w:pStyle w:val="EvidenceCitation"/>
      </w:pPr>
      <w:r>
        <w:t>U.S. Government Accountability Office, Drug Shortages, GAO-25-107110, April 9, 2025, https://www.gao.gov/products/gao-25-107110</w:t>
      </w:r>
    </w:p>
    <w:p>
      <w:pPr>
        <w:keepNext/>
        <w:keepLines/>
        <w:spacing w:after="100"/>
      </w:pPr>
      <w:r>
        <w:rPr>
          <w:rFonts w:ascii="Calibri" w:hAnsi="Calibri"/>
          <w:color w:val="181D23"/>
          <w:sz w:val="21"/>
        </w:rPr>
        <w:t>GAO examined persistent drug shortages by reviewing federal actions and the manufacturing conditions that limit supply. The report distinguishes immediate regulatory mitigation from underlying economic, quality, capital, technology, and ingredient constraints. That distinction matters because the affirmative does not claim ownership eliminates FDA requirements; it claims public capacity and purchasing can address investment failures that regulatory flexibility alone cannot cure.</w:t>
      </w:r>
    </w:p>
    <w:p>
      <w:pPr>
        <w:keepNext/>
        <w:keepLines/>
        <w:spacing w:after="100"/>
      </w:pPr>
      <w:r>
        <w:rPr>
          <w:rFonts w:ascii="Calibri" w:hAnsi="Calibri"/>
          <w:b/>
          <w:color w:val="181D23"/>
          <w:sz w:val="21"/>
          <w:u w:val="single"/>
        </w:rPr>
        <w:t xml:space="preserve">GAO identifies capital, technology, quality systems, active-ingredient sourcing, and specialized manufacturing knowledge as constraints on expanding drug production. </w:t>
      </w:r>
      <w:r>
        <w:rPr>
          <w:rFonts w:ascii="Calibri" w:hAnsi="Calibri"/>
          <w:color w:val="181D23"/>
          <w:sz w:val="21"/>
        </w:rPr>
        <w:t>Ownership transfer does not remove those operational dependencies.</w:t>
      </w:r>
    </w:p>
    <w:p>
      <w:pPr>
        <w:keepLines/>
        <w:spacing w:after="160"/>
      </w:pPr>
      <w:r>
        <w:rPr>
          <w:rFonts w:ascii="Calibri" w:hAnsi="Calibri"/>
          <w:color w:val="181D23"/>
          <w:sz w:val="21"/>
        </w:rPr>
        <w:t>The same transition logic applies to other complex production sectors. If governance changes cause key personnel, suppliers, approvals, or technical data to become unavailable, public ownership may initially reduce rather than increase usable capacity.</w:t>
      </w:r>
    </w:p>
    <w:p>
      <w:pPr>
        <w:pStyle w:val="Heading1"/>
      </w:pPr>
      <w:r>
        <w:t>Round execution</w:t>
      </w:r>
    </w:p>
    <w:p>
      <w:pPr>
        <w:pStyle w:val="ListBullet"/>
        <w:spacing w:after="80" w:line="300" w:lineRule="auto"/>
        <w:ind w:left="540" w:hanging="271"/>
      </w:pPr>
      <w:r>
        <w:rPr>
          <w:rFonts w:ascii="Calibri" w:hAnsi="Calibri"/>
          <w:color w:val="181D23"/>
          <w:sz w:val="22"/>
        </w:rPr>
        <w:t>Do not double count the entire purchase price as a social cost when the government receives an asset.</w:t>
      </w:r>
    </w:p>
    <w:p>
      <w:pPr>
        <w:pStyle w:val="ListBullet"/>
        <w:spacing w:after="80" w:line="300" w:lineRule="auto"/>
        <w:ind w:left="540" w:hanging="271"/>
      </w:pPr>
      <w:r>
        <w:rPr>
          <w:rFonts w:ascii="Calibri" w:hAnsi="Calibri"/>
          <w:color w:val="181D23"/>
          <w:sz w:val="22"/>
        </w:rPr>
        <w:t>Win timing: up-front federal and operational disruption occurs before claimed long-run savings.</w:t>
      </w:r>
    </w:p>
    <w:p>
      <w:pPr>
        <w:pStyle w:val="ListBullet"/>
        <w:spacing w:after="80" w:line="300" w:lineRule="auto"/>
        <w:ind w:left="540" w:hanging="271"/>
      </w:pPr>
      <w:r>
        <w:rPr>
          <w:rFonts w:ascii="Calibri" w:hAnsi="Calibri"/>
          <w:color w:val="181D23"/>
          <w:sz w:val="22"/>
        </w:rPr>
        <w:t>Pair the DA with a narrower counterplan so the alternative still addresses the affirmative harm.</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Nationalization concentrates large acquisition and implementation costs at the federal level. Even when social spending is displaced, rapid conversion can increase borrowing, crowd out other priorities, and disrupt essential services before new public governance stabilizes.</w:t>
      </w:r>
    </w:p>
    <w:p>
      <w:r>
        <w:rPr>
          <w:rFonts w:ascii="Calibri" w:hAnsi="Calibri"/>
          <w:b/>
          <w:color w:val="1F3A5F"/>
          <w:sz w:val="22"/>
        </w:rPr>
        <w:t xml:space="preserve">1. Fiscal capacity DA: </w:t>
      </w:r>
      <w:r>
        <w:rPr>
          <w:rFonts w:ascii="Calibri" w:hAnsi="Calibri"/>
          <w:color w:val="181D23"/>
          <w:sz w:val="22"/>
        </w:rPr>
        <w:t>Uniqueness: federal debt and interest costs constrain fiscal space.</w:t>
      </w:r>
    </w:p>
    <w:p>
      <w:r>
        <w:rPr>
          <w:rFonts w:ascii="Calibri" w:hAnsi="Calibri"/>
          <w:b/>
          <w:color w:val="1F3A5F"/>
          <w:sz w:val="22"/>
        </w:rPr>
        <w:t xml:space="preserve">2. Transition shock DA: </w:t>
      </w:r>
      <w:r>
        <w:rPr>
          <w:rFonts w:ascii="Calibri" w:hAnsi="Calibri"/>
          <w:color w:val="181D23"/>
          <w:sz w:val="22"/>
        </w:rPr>
        <w:t>Uniqueness: current systems are imperfect but operational.</w:t>
      </w:r>
    </w:p>
    <w:p>
      <w:r>
        <w:rPr>
          <w:rFonts w:ascii="Calibri" w:hAnsi="Calibri"/>
          <w:b/>
          <w:color w:val="1F3A5F"/>
          <w:sz w:val="22"/>
        </w:rPr>
        <w:t xml:space="preserve">Collapse instruction: </w:t>
      </w:r>
      <w:r>
        <w:rPr>
          <w:rFonts w:ascii="Calibri" w:hAnsi="Calibri"/>
          <w:color w:val="181D23"/>
          <w:sz w:val="22"/>
        </w:rPr>
        <w:t>Pair the DA with a narrower counterplan so the alternative still addresses the affirmative harm.</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2 — Fiscal and Transition Disadvantages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