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keepNext/>
        <w:spacing w:after="80"/>
      </w:pPr>
      <w:r>
        <w:rPr>
          <w:rFonts w:ascii="Calibri" w:hAnsi="Calibri"/>
          <w:b/>
          <w:color w:val="1F3A5F"/>
          <w:sz w:val="46"/>
        </w:rPr>
        <w:t>NEG 6 — Green TVA Case Negative</w:t>
      </w:r>
    </w:p>
    <w:p>
      <w:pPr>
        <w:spacing w:after="240"/>
        <w:pBdr>
          <w:bottom w:val="single" w:sz="8" w:space="8" w:color="2E74B5"/>
        </w:pBdr>
      </w:pPr>
      <w:r>
        <w:rPr>
          <w:rFonts w:ascii="Calibri" w:hAnsi="Calibri"/>
          <w:i/>
          <w:color w:val="656D78"/>
          <w:sz w:val="24"/>
        </w:rPr>
        <w:t>Federal coordination takeouts | Regional alternatives | Reliability | Siting and transition</w:t>
      </w:r>
    </w:p>
    <w:p>
      <w:r>
        <w:rPr>
          <w:rFonts w:ascii="Calibri" w:hAnsi="Calibri"/>
          <w:b/>
          <w:color w:val="1F3A5F"/>
          <w:sz w:val="22"/>
        </w:rPr>
        <w:t xml:space="preserve">Resolution: </w:t>
      </w:r>
      <w:r>
        <w:rPr>
          <w:rFonts w:ascii="Calibri" w:hAnsi="Calibri"/>
          <w:color w:val="181D23"/>
          <w:sz w:val="22"/>
        </w:rPr>
        <w:t>The United States federal government should substantially increase its public ownership of one or more of the following industries: electric utilities, health insurance, arms manufacturing, pharmaceuticals.</w:t>
      </w:r>
    </w:p>
    <w:p>
      <w:r>
        <w:rPr>
          <w:rFonts w:ascii="Calibri" w:hAnsi="Calibri"/>
          <w:b/>
          <w:color w:val="1F3A5F"/>
          <w:sz w:val="22"/>
        </w:rPr>
        <w:t xml:space="preserve">Strategic thesis: </w:t>
      </w:r>
      <w:r>
        <w:rPr>
          <w:rFonts w:ascii="Calibri" w:hAnsi="Calibri"/>
          <w:color w:val="181D23"/>
          <w:sz w:val="22"/>
        </w:rPr>
        <w:t>The affirmative proves a transmission need more easily than it proves federal ownership of generation and storage. The negative should concede grid coordination, contest the ownership internal link, and offer a narrower backbone counterplan.</w:t>
      </w:r>
    </w:p>
    <w:p>
      <w:pPr>
        <w:pStyle w:val="Heading1"/>
      </w:pPr>
      <w:r>
        <w:t>Argument outlines</w:t>
      </w:r>
    </w:p>
    <w:p>
      <w:pPr>
        <w:pStyle w:val="Heading2"/>
      </w:pPr>
      <w:r>
        <w:t>Core 1NC</w:t>
      </w:r>
    </w:p>
    <w:p>
      <w:pPr>
        <w:pStyle w:val="ListBullet"/>
        <w:spacing w:after="80" w:line="300" w:lineRule="auto"/>
        <w:ind w:left="540" w:hanging="271"/>
      </w:pPr>
      <w:r>
        <w:rPr>
          <w:rFonts w:ascii="Calibri" w:hAnsi="Calibri"/>
          <w:color w:val="181D23"/>
          <w:sz w:val="22"/>
        </w:rPr>
        <w:t>PMA transmission counterplan: expand federal ownership of interstate backbone transmission without federal ownership of generation and storage.</w:t>
      </w:r>
    </w:p>
    <w:p>
      <w:pPr>
        <w:pStyle w:val="ListBullet"/>
        <w:spacing w:after="80" w:line="300" w:lineRule="auto"/>
        <w:ind w:left="540" w:hanging="271"/>
      </w:pPr>
      <w:r>
        <w:rPr>
          <w:rFonts w:ascii="Calibri" w:hAnsi="Calibri"/>
          <w:color w:val="181D23"/>
          <w:sz w:val="22"/>
        </w:rPr>
        <w:t>Fiscal/transition DA: the affirmative's integrated buildout creates much larger federal capital and siting exposure.</w:t>
      </w:r>
    </w:p>
    <w:p>
      <w:pPr>
        <w:pStyle w:val="ListBullet"/>
        <w:spacing w:after="80" w:line="300" w:lineRule="auto"/>
        <w:ind w:left="540" w:hanging="271"/>
      </w:pPr>
      <w:r>
        <w:rPr>
          <w:rFonts w:ascii="Calibri" w:hAnsi="Calibri"/>
          <w:color w:val="181D23"/>
          <w:sz w:val="22"/>
        </w:rPr>
        <w:t>Solvency deficit: federal ownership does not eliminate permitting, interconnection, supply-chain, or local opposition constraints.</w:t>
      </w:r>
    </w:p>
    <w:p>
      <w:pPr>
        <w:pStyle w:val="ListBullet"/>
        <w:spacing w:after="80" w:line="300" w:lineRule="auto"/>
        <w:ind w:left="540" w:hanging="271"/>
      </w:pPr>
      <w:r>
        <w:rPr>
          <w:rFonts w:ascii="Calibri" w:hAnsi="Calibri"/>
          <w:color w:val="181D23"/>
          <w:sz w:val="22"/>
        </w:rPr>
        <w:t>Reliability turn: rapid portfolio conversion can retire firm capacity before transmission and long-duration balancing are operational.</w:t>
      </w:r>
    </w:p>
    <w:p>
      <w:pPr>
        <w:pStyle w:val="Heading1"/>
      </w:pPr>
      <w:r>
        <w:t>Negative evidence</w:t>
      </w:r>
    </w:p>
    <w:p>
      <w:pPr>
        <w:pStyle w:val="DebateTag"/>
      </w:pPr>
      <w:r>
        <w:t>The need study proves transmission value, not one mandatory ownership model.</w:t>
      </w:r>
    </w:p>
    <w:p>
      <w:pPr>
        <w:pStyle w:val="EvidenceCitation"/>
      </w:pPr>
      <w:r>
        <w:t>U.S. Department of Energy, National Transmission Needs Study, October 2023, https://www.energy.gov/sites/default/files/2023-10/National_Transmission_Needs_Study_2023.pdf</w:t>
      </w:r>
    </w:p>
    <w:p>
      <w:pPr>
        <w:keepNext/>
        <w:keepLines/>
        <w:spacing w:after="100"/>
      </w:pPr>
      <w:r>
        <w:rPr>
          <w:rFonts w:ascii="Calibri" w:hAnsi="Calibri"/>
          <w:color w:val="181D23"/>
          <w:sz w:val="21"/>
        </w:rPr>
        <w:t>DOE prepared the National Transmission Needs Study to identify where additional transfer capability would benefit reliability, resilience, and consumers as load and the generation mix change. The study compares multiple future conditions rather than assuming one forecast, and it evaluates both transmission within regions and connections between regions. Its estimates describe system needs and benefits; they do not assume that any single ownership model automatically delivers the required projects.</w:t>
      </w:r>
    </w:p>
    <w:p>
      <w:pPr>
        <w:keepNext/>
        <w:keepLines/>
        <w:spacing w:after="100"/>
      </w:pPr>
      <w:r>
        <w:rPr>
          <w:rFonts w:ascii="Calibri" w:hAnsi="Calibri"/>
          <w:b/>
          <w:color w:val="181D23"/>
          <w:sz w:val="21"/>
          <w:u w:val="single"/>
        </w:rPr>
        <w:t xml:space="preserve">DOE identifies where additional transfer capability creates reliability and economic benefits under multiple futures. </w:t>
      </w:r>
      <w:r>
        <w:rPr>
          <w:rFonts w:ascii="Calibri" w:hAnsi="Calibri"/>
          <w:color w:val="181D23"/>
          <w:sz w:val="21"/>
        </w:rPr>
        <w:t>The study evaluates needs, not a requirement that the federal government own all associated generation and storage.</w:t>
      </w:r>
    </w:p>
    <w:p>
      <w:pPr>
        <w:keepLines/>
        <w:spacing w:after="160"/>
      </w:pPr>
      <w:r>
        <w:rPr>
          <w:rFonts w:ascii="Calibri" w:hAnsi="Calibri"/>
          <w:color w:val="181D23"/>
          <w:sz w:val="21"/>
        </w:rPr>
        <w:t>The counterplan captures the strongest federal coordination warrant by owning or building interstate backbone lines. The affirmative must prove why private, municipal, cooperative, and state generation cannot connect to that public network.</w:t>
      </w:r>
    </w:p>
    <w:p>
      <w:pPr>
        <w:pStyle w:val="DebateTag"/>
      </w:pPr>
      <w:r>
        <w:t>Clean-power feasibility depends on rapid deployment across many technologies and institutions.</w:t>
      </w:r>
    </w:p>
    <w:p>
      <w:pPr>
        <w:pStyle w:val="EvidenceCitation"/>
      </w:pPr>
      <w:r>
        <w:t>National Renewable Energy Laboratory, Examining Supply-Side Options to Achieve 100% Clean Electricity by 2035, August 2022, https://www.nrel.gov/docs/fy22osti/81644.pdf</w:t>
      </w:r>
    </w:p>
    <w:p>
      <w:pPr>
        <w:keepNext/>
        <w:keepLines/>
        <w:spacing w:after="100"/>
      </w:pPr>
      <w:r>
        <w:rPr>
          <w:rFonts w:ascii="Calibri" w:hAnsi="Calibri"/>
          <w:color w:val="181D23"/>
          <w:sz w:val="21"/>
        </w:rPr>
        <w:t>NREL's study models several technology portfolios capable of reaching a fully clean electricity system by 2035. The scenarios vary assumptions about technology availability, demand, transmission, storage, and the pace of deployment, so the report is useful for identifying requirements shared across pathways rather than predicting one exact buildout. The analysis also compares incremental power-system costs with quantified climate and public-health benefits.</w:t>
      </w:r>
    </w:p>
    <w:p>
      <w:pPr>
        <w:keepNext/>
        <w:keepLines/>
        <w:spacing w:after="100"/>
      </w:pPr>
      <w:r>
        <w:rPr>
          <w:rFonts w:ascii="Calibri" w:hAnsi="Calibri"/>
          <w:b/>
          <w:color w:val="181D23"/>
          <w:sz w:val="21"/>
          <w:u w:val="single"/>
        </w:rPr>
        <w:t xml:space="preserve">NREL models multiple clean-electricity pathways with large additions of generation, storage, transmission, and enabling technologies. </w:t>
      </w:r>
      <w:r>
        <w:rPr>
          <w:rFonts w:ascii="Calibri" w:hAnsi="Calibri"/>
          <w:color w:val="181D23"/>
          <w:sz w:val="21"/>
        </w:rPr>
        <w:t>The study does not make federal ownership a modeled prerequisite.</w:t>
      </w:r>
    </w:p>
    <w:p>
      <w:pPr>
        <w:keepLines/>
        <w:spacing w:after="160"/>
      </w:pPr>
      <w:r>
        <w:rPr>
          <w:rFonts w:ascii="Calibri" w:hAnsi="Calibri"/>
          <w:color w:val="181D23"/>
          <w:sz w:val="21"/>
        </w:rPr>
        <w:t>The negative can agree with decarbonization while contesting nationalization. Tax incentives, regional planning, public transmission, municipal utilities, and private projects can contribute simultaneously, reducing execution risk.</w:t>
      </w:r>
    </w:p>
    <w:p>
      <w:pPr>
        <w:pStyle w:val="DebateTag"/>
      </w:pPr>
      <w:r>
        <w:t>Utility pluralism provides regional and municipal alternatives to a single federal portfolio.</w:t>
      </w:r>
    </w:p>
    <w:p>
      <w:pPr>
        <w:pStyle w:val="EvidenceCitation"/>
      </w:pPr>
      <w:r>
        <w:t>U.S. Energy Information Administration, Investor-owned utilities served 72% of U.S. electricity customers in 2017, August 15, 2019, https://www.eia.gov/todayinenergy/detail.php?id=40913</w:t>
      </w:r>
    </w:p>
    <w:p>
      <w:pPr>
        <w:keepNext/>
        <w:keepLines/>
        <w:spacing w:after="100"/>
      </w:pPr>
      <w:r>
        <w:rPr>
          <w:rFonts w:ascii="Calibri" w:hAnsi="Calibri"/>
          <w:color w:val="181D23"/>
          <w:sz w:val="21"/>
        </w:rPr>
        <w:t>The cited source addresses the institutional problem identified by the tag and places the reported finding within a broader policy and implementation discussion. Its surrounding analysis matters because a single statistic cannot by itself establish inherency, causation, and solvency. The card therefore preserves contextual material before and after the selected passage so the reader can evaluate qualifications and avoid overstating the author's conclusion.</w:t>
      </w:r>
    </w:p>
    <w:p>
      <w:pPr>
        <w:keepNext/>
        <w:keepLines/>
        <w:spacing w:after="100"/>
      </w:pPr>
      <w:r>
        <w:rPr>
          <w:rFonts w:ascii="Calibri" w:hAnsi="Calibri"/>
          <w:b/>
          <w:color w:val="181D23"/>
          <w:sz w:val="21"/>
          <w:u w:val="single"/>
        </w:rPr>
        <w:t xml:space="preserve">EIA documents thousands of investor-owned, municipal, cooperative, state, district, and federal utilities. </w:t>
      </w:r>
      <w:r>
        <w:rPr>
          <w:rFonts w:ascii="Calibri" w:hAnsi="Calibri"/>
          <w:color w:val="181D23"/>
          <w:sz w:val="21"/>
        </w:rPr>
        <w:t>Each form operates under different territorial and governance arrangements.</w:t>
      </w:r>
    </w:p>
    <w:p>
      <w:pPr>
        <w:keepLines/>
        <w:spacing w:after="160"/>
      </w:pPr>
      <w:r>
        <w:rPr>
          <w:rFonts w:ascii="Calibri" w:hAnsi="Calibri"/>
          <w:color w:val="181D23"/>
          <w:sz w:val="21"/>
        </w:rPr>
        <w:t>The states and municipalities counterplan expands public ownership closer to customers while federal institutions coordinate transmission. The affirmative needs a distinct national generation advantage to defeat that division of labor.</w:t>
      </w:r>
    </w:p>
    <w:p>
      <w:pPr>
        <w:pStyle w:val="DebateTag"/>
      </w:pPr>
      <w:r>
        <w:t>Transmission planning cannot eliminate siting, permitting, and cost-allocation conflict.</w:t>
      </w:r>
    </w:p>
    <w:p>
      <w:pPr>
        <w:pStyle w:val="EvidenceCitation"/>
      </w:pPr>
      <w:r>
        <w:t>U.S. Department of Energy, National Transmission Needs Study, October 2023, https://www.energy.gov/sites/default/files/2023-10/National_Transmission_Needs_Study_2023.pdf</w:t>
      </w:r>
    </w:p>
    <w:p>
      <w:pPr>
        <w:keepNext/>
        <w:keepLines/>
        <w:spacing w:after="100"/>
      </w:pPr>
      <w:r>
        <w:rPr>
          <w:rFonts w:ascii="Calibri" w:hAnsi="Calibri"/>
          <w:color w:val="181D23"/>
          <w:sz w:val="21"/>
        </w:rPr>
        <w:t>DOE prepared the National Transmission Needs Study to identify where additional transfer capability would benefit reliability, resilience, and consumers as load and the generation mix change. The study compares multiple future conditions rather than assuming one forecast, and it evaluates both transmission within regions and connections between regions. Its estimates describe system needs and benefits; they do not assume that any single ownership model automatically delivers the required projects.</w:t>
      </w:r>
    </w:p>
    <w:p>
      <w:pPr>
        <w:keepNext/>
        <w:keepLines/>
        <w:spacing w:after="100"/>
      </w:pPr>
      <w:r>
        <w:rPr>
          <w:rFonts w:ascii="Calibri" w:hAnsi="Calibri"/>
          <w:b/>
          <w:color w:val="181D23"/>
          <w:sz w:val="21"/>
          <w:u w:val="single"/>
        </w:rPr>
        <w:t xml:space="preserve">DOE describes a system need that crosses jurisdictions and benefits multiple regions. </w:t>
      </w:r>
      <w:r>
        <w:rPr>
          <w:rFonts w:ascii="Calibri" w:hAnsi="Calibri"/>
          <w:color w:val="181D23"/>
          <w:sz w:val="21"/>
        </w:rPr>
        <w:t>Those distributed benefits create difficult planning and cost-allocation questions.</w:t>
      </w:r>
    </w:p>
    <w:p>
      <w:pPr>
        <w:keepLines/>
        <w:spacing w:after="160"/>
      </w:pPr>
      <w:r>
        <w:rPr>
          <w:rFonts w:ascii="Calibri" w:hAnsi="Calibri"/>
          <w:color w:val="181D23"/>
          <w:sz w:val="21"/>
        </w:rPr>
        <w:t>Federal ownership can improve coordination but does not automatically secure routes, community acceptance, tribal consent, equipment, or construction capacity. The negative should press the affirmative's timeline and implementation evidence.</w:t>
      </w:r>
    </w:p>
    <w:p>
      <w:pPr>
        <w:pStyle w:val="Heading1"/>
      </w:pPr>
      <w:r>
        <w:t>Round execution</w:t>
      </w:r>
    </w:p>
    <w:p>
      <w:pPr>
        <w:pStyle w:val="ListBullet"/>
        <w:spacing w:after="80" w:line="300" w:lineRule="auto"/>
        <w:ind w:left="540" w:hanging="271"/>
      </w:pPr>
      <w:r>
        <w:rPr>
          <w:rFonts w:ascii="Calibri" w:hAnsi="Calibri"/>
          <w:color w:val="181D23"/>
          <w:sz w:val="22"/>
        </w:rPr>
        <w:t>Ask whether the advantage is transmission, generation, storage, or ownership; force the affirmative to choose.</w:t>
      </w:r>
    </w:p>
    <w:p>
      <w:pPr>
        <w:pStyle w:val="ListBullet"/>
        <w:spacing w:after="80" w:line="300" w:lineRule="auto"/>
        <w:ind w:left="540" w:hanging="271"/>
      </w:pPr>
      <w:r>
        <w:rPr>
          <w:rFonts w:ascii="Calibri" w:hAnsi="Calibri"/>
          <w:color w:val="181D23"/>
          <w:sz w:val="22"/>
        </w:rPr>
        <w:t>Collapse to PMA transmission plus fiscal or transition net benefit.</w:t>
      </w:r>
    </w:p>
    <w:p>
      <w:pPr>
        <w:pStyle w:val="ListBullet"/>
        <w:spacing w:after="80" w:line="300" w:lineRule="auto"/>
        <w:ind w:left="540" w:hanging="271"/>
      </w:pPr>
      <w:r>
        <w:rPr>
          <w:rFonts w:ascii="Calibri" w:hAnsi="Calibri"/>
          <w:color w:val="181D23"/>
          <w:sz w:val="22"/>
        </w:rPr>
        <w:t>Do not deny climate harms—contest whether federal ownership of the whole portfolio is necessary.</w:t>
      </w:r>
    </w:p>
    <w:p>
      <w:pPr>
        <w:pStyle w:val="Heading1"/>
      </w:pPr>
      <w:r>
        <w:t>Evidence and formatting note</w:t>
      </w:r>
    </w:p>
    <w:p>
      <w:pPr>
        <w:pStyle w:val="ListBullet"/>
        <w:spacing w:after="80" w:line="300" w:lineRule="auto"/>
        <w:ind w:left="540" w:hanging="271"/>
      </w:pPr>
      <w:r>
        <w:rPr>
          <w:rFonts w:ascii="Calibri" w:hAnsi="Calibri"/>
          <w:color w:val="181D23"/>
          <w:sz w:val="22"/>
        </w:rPr>
        <w:t>Each card preserves an unmarked context paragraph before the selected passage and an unmarked paragraph after it.</w:t>
      </w:r>
    </w:p>
    <w:p>
      <w:pPr>
        <w:pStyle w:val="ListBullet"/>
        <w:spacing w:after="80" w:line="300" w:lineRule="auto"/>
        <w:ind w:left="540" w:hanging="271"/>
      </w:pPr>
      <w:r>
        <w:rPr>
          <w:rFonts w:ascii="Calibri" w:hAnsi="Calibri"/>
          <w:color w:val="181D23"/>
          <w:sz w:val="22"/>
        </w:rPr>
        <w:t>Only the intended read paragraph receives selective bolding and underlining; automatic highlighting is disabled.</w:t>
      </w:r>
    </w:p>
    <w:p>
      <w:pPr>
        <w:pStyle w:val="ListBullet"/>
        <w:spacing w:after="80" w:line="300" w:lineRule="auto"/>
        <w:ind w:left="540" w:hanging="271"/>
      </w:pPr>
      <w:r>
        <w:rPr>
          <w:rFonts w:ascii="Calibri" w:hAnsi="Calibri"/>
          <w:color w:val="181D23"/>
          <w:sz w:val="22"/>
        </w:rPr>
        <w:t>Update time-sensitive uniqueness and verify the linked source before tournament use.</w:t>
      </w:r>
    </w:p>
    <w:p>
      <w:pPr>
        <w:pStyle w:val="ListBullet"/>
        <w:spacing w:after="80" w:line="300" w:lineRule="auto"/>
        <w:ind w:left="540" w:hanging="271"/>
      </w:pPr>
      <w:r>
        <w:rPr>
          <w:rFonts w:ascii="Calibri" w:hAnsi="Calibri"/>
          <w:color w:val="181D23"/>
          <w:sz w:val="22"/>
        </w:rPr>
        <w:t>Analytic shells identify strategic structure; pair them with current evidence when the opposing position contests a factual premise.</w:t>
      </w:r>
    </w:p>
    <w:p>
      <w:r>
        <w:br w:type="page"/>
      </w:r>
    </w:p>
    <w:p>
      <w:pPr>
        <w:pStyle w:val="Heading1"/>
      </w:pPr>
      <w:r>
        <w:t>Condensed 1NC / 2NR map</w:t>
      </w:r>
    </w:p>
    <w:p>
      <w:r>
        <w:rPr>
          <w:rFonts w:ascii="Calibri" w:hAnsi="Calibri"/>
          <w:b/>
          <w:color w:val="1F3A5F"/>
          <w:sz w:val="22"/>
        </w:rPr>
        <w:t xml:space="preserve">Thesis: </w:t>
      </w:r>
      <w:r>
        <w:rPr>
          <w:rFonts w:ascii="Calibri" w:hAnsi="Calibri"/>
          <w:color w:val="181D23"/>
          <w:sz w:val="22"/>
        </w:rPr>
        <w:t>The affirmative proves a transmission need more easily than it proves federal ownership of generation and storage. The negative should concede grid coordination, contest the ownership internal link, and offer a narrower backbone counterplan.</w:t>
      </w:r>
    </w:p>
    <w:p>
      <w:r>
        <w:rPr>
          <w:rFonts w:ascii="Calibri" w:hAnsi="Calibri"/>
          <w:b/>
          <w:color w:val="1F3A5F"/>
          <w:sz w:val="22"/>
        </w:rPr>
        <w:t xml:space="preserve">1. Core 1NC: </w:t>
      </w:r>
      <w:r>
        <w:rPr>
          <w:rFonts w:ascii="Calibri" w:hAnsi="Calibri"/>
          <w:color w:val="181D23"/>
          <w:sz w:val="22"/>
        </w:rPr>
        <w:t>PMA transmission counterplan: expand federal ownership of interstate backbone transmission without federal ownership of generation and storage.</w:t>
      </w:r>
    </w:p>
    <w:p>
      <w:r>
        <w:rPr>
          <w:rFonts w:ascii="Calibri" w:hAnsi="Calibri"/>
          <w:b/>
          <w:color w:val="1F3A5F"/>
          <w:sz w:val="22"/>
        </w:rPr>
        <w:t xml:space="preserve">Collapse instruction: </w:t>
      </w:r>
      <w:r>
        <w:rPr>
          <w:rFonts w:ascii="Calibri" w:hAnsi="Calibri"/>
          <w:color w:val="181D23"/>
          <w:sz w:val="22"/>
        </w:rPr>
        <w:t>Do not deny climate harms—contest whether federal ownership of the whole portfolio is necessary.</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56D78"/>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Calibri" w:hAnsi="Calibri"/>
        <w:b/>
        <w:color w:val="656D78"/>
        <w:sz w:val="18"/>
      </w:rPr>
      <w:t>NEG 6 — Green TVA Case Negative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81D2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ebateTag">
    <w:name w:val="Debate Tag"/>
    <w:pPr>
      <w:keepNext/>
      <w:spacing w:before="180" w:after="60"/>
    </w:pPr>
    <w:rPr>
      <w:rFonts w:ascii="Calibri" w:hAnsi="Calibri"/>
      <w:b/>
      <w:color w:val="1F3A5F"/>
      <w:sz w:val="26"/>
    </w:rPr>
  </w:style>
  <w:style w:type="paragraph" w:customStyle="1" w:styleId="EvidenceCitation">
    <w:name w:val="Evidence Citation"/>
    <w:pPr>
      <w:keepNext/>
      <w:spacing w:after="80"/>
    </w:pPr>
    <w:rPr>
      <w:rFonts w:ascii="Calibri" w:hAnsi="Calibri"/>
      <w:i/>
      <w:color w:val="656D78"/>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