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8593A" w14:textId="069541E8" w:rsidR="00942EDA" w:rsidRPr="00942EDA" w:rsidRDefault="00942EDA" w:rsidP="00942EDA">
      <w:pPr>
        <w:pStyle w:val="Heading1"/>
      </w:pPr>
      <w:r w:rsidRPr="00942EDA">
        <w:tab/>
      </w:r>
      <w:r w:rsidRPr="00942EDA">
        <w:tab/>
        <w:t>“Increase” means to build upon.</w:t>
      </w:r>
    </w:p>
    <w:p w14:paraId="2A06D715" w14:textId="77777777" w:rsidR="00942EDA" w:rsidRDefault="00942EDA" w:rsidP="00942EDA">
      <w:pPr>
        <w:pStyle w:val="Heading4"/>
      </w:pPr>
    </w:p>
    <w:p w14:paraId="43B18CF9" w14:textId="715F0335" w:rsidR="00942EDA" w:rsidRDefault="00942EDA" w:rsidP="00942EDA">
      <w:pPr>
        <w:pStyle w:val="Heading4"/>
      </w:pPr>
      <w:r>
        <w:t>Interpretation: I</w:t>
      </w:r>
      <w:r w:rsidRPr="00942EDA">
        <w:t xml:space="preserve">ncrease its public ownership” means the United States federal government must directly increase an existing form of public ownership in one or more of the listed industries. The increase must be </w:t>
      </w:r>
      <w:proofErr w:type="gramStart"/>
      <w:r w:rsidRPr="00942EDA">
        <w:t>immediate</w:t>
      </w:r>
      <w:proofErr w:type="gramEnd"/>
      <w:r w:rsidRPr="00942EDA">
        <w:t xml:space="preserve"> in the plan text and tied to a real ownership expansion, not a brand-new ownership scheme.</w:t>
      </w:r>
    </w:p>
    <w:p w14:paraId="6ECF962F" w14:textId="77777777" w:rsidR="00942EDA" w:rsidRDefault="00942EDA" w:rsidP="00942EDA">
      <w:pPr>
        <w:rPr>
          <w:b/>
          <w:bCs/>
        </w:rPr>
      </w:pPr>
    </w:p>
    <w:p w14:paraId="2273D678" w14:textId="78EE6A5B" w:rsidR="00942EDA" w:rsidRPr="00942EDA" w:rsidRDefault="00942EDA">
      <w:pPr>
        <w:pStyle w:val="ListParagraph"/>
        <w:numPr>
          <w:ilvl w:val="0"/>
          <w:numId w:val="4"/>
        </w:numPr>
        <w:rPr>
          <w:b/>
          <w:bCs/>
        </w:rPr>
      </w:pPr>
      <w:r w:rsidRPr="00942EDA">
        <w:rPr>
          <w:b/>
          <w:bCs/>
        </w:rPr>
        <w:t xml:space="preserve">“Increase” means to build upon. </w:t>
      </w:r>
    </w:p>
    <w:p w14:paraId="50F78F9C" w14:textId="77777777" w:rsidR="00942EDA" w:rsidRPr="00942EDA" w:rsidRDefault="00942EDA" w:rsidP="00942EDA">
      <w:pPr>
        <w:ind w:left="720"/>
        <w:rPr>
          <w:rStyle w:val="Style13ptBold"/>
        </w:rPr>
      </w:pPr>
      <w:r w:rsidRPr="00942EDA">
        <w:rPr>
          <w:rStyle w:val="Style13ptBold"/>
        </w:rPr>
        <w:t>Oxford Dictionaries- 2017</w:t>
      </w:r>
    </w:p>
    <w:p w14:paraId="444D4197" w14:textId="77777777" w:rsidR="00942EDA" w:rsidRDefault="00942EDA" w:rsidP="00942EDA">
      <w:pPr>
        <w:ind w:left="720"/>
        <w:rPr>
          <w:rFonts w:cs="Calibri"/>
          <w:color w:val="000000"/>
        </w:rPr>
      </w:pPr>
      <w:hyperlink r:id="rId8" w:history="1">
        <w:r>
          <w:rPr>
            <w:rStyle w:val="Hyperlink"/>
            <w:rFonts w:cs="Calibri"/>
          </w:rPr>
          <w:t>http://www.oxforddictionaries.com/definition/english/increase</w:t>
        </w:r>
      </w:hyperlink>
    </w:p>
    <w:p w14:paraId="62DA299A" w14:textId="77777777" w:rsidR="00942EDA" w:rsidRDefault="00942EDA" w:rsidP="00942EDA">
      <w:pPr>
        <w:ind w:left="720"/>
        <w:rPr>
          <w:rFonts w:cs="Calibri"/>
          <w:b/>
          <w:color w:val="000000"/>
          <w:u w:val="single"/>
        </w:rPr>
      </w:pPr>
      <w:r w:rsidRPr="00942EDA">
        <w:rPr>
          <w:rFonts w:cs="Calibri"/>
          <w:b/>
          <w:color w:val="000000"/>
          <w:highlight w:val="green"/>
          <w:u w:val="single"/>
        </w:rPr>
        <w:t>To make greater, as in number, size, strength, or quality; augment; add to:</w:t>
      </w:r>
    </w:p>
    <w:p w14:paraId="667ADA6D" w14:textId="77777777" w:rsidR="00942EDA" w:rsidRDefault="00942EDA" w:rsidP="00942EDA">
      <w:pPr>
        <w:pStyle w:val="Heading4"/>
        <w:rPr>
          <w:b w:val="0"/>
        </w:rPr>
      </w:pPr>
      <w:r>
        <w:t>Violations:</w:t>
      </w:r>
    </w:p>
    <w:p w14:paraId="1AF4757C" w14:textId="77777777" w:rsidR="00942EDA" w:rsidRDefault="00942EDA">
      <w:pPr>
        <w:pStyle w:val="ListParagraph"/>
        <w:numPr>
          <w:ilvl w:val="0"/>
          <w:numId w:val="1"/>
        </w:numPr>
      </w:pPr>
      <w:r w:rsidRPr="00942EDA">
        <w:t>The Aff does not increase an existing form of public ownership. Instead, they create a new ownership structure/program. That is not a predictable increase of current public ownership; it explodes the topic by letting the Aff invent entirely new models of ownership.</w:t>
      </w:r>
    </w:p>
    <w:p w14:paraId="1930D043" w14:textId="31C984B2" w:rsidR="00942EDA" w:rsidRDefault="00942EDA">
      <w:pPr>
        <w:pStyle w:val="ListParagraph"/>
        <w:numPr>
          <w:ilvl w:val="0"/>
          <w:numId w:val="1"/>
        </w:numPr>
      </w:pPr>
      <w:r w:rsidRPr="00942EDA">
        <w:t xml:space="preserve">The resolution only allows the Aff to defend an increase in public ownership. If they add extra mandates beyond that core action, those additional planks are extra-topical. The Aff should not be allowed to gain advantages from parts of the plan that go beyond the resolution. If those extra actions are necessary to solve, then the case is not </w:t>
      </w:r>
      <w:proofErr w:type="spellStart"/>
      <w:r w:rsidRPr="00942EDA">
        <w:t>resolutional</w:t>
      </w:r>
      <w:proofErr w:type="spellEnd"/>
      <w:r w:rsidRPr="00942EDA">
        <w:t>.</w:t>
      </w:r>
    </w:p>
    <w:p w14:paraId="1AE7A28A" w14:textId="7267F50C" w:rsidR="00942EDA" w:rsidRPr="00942EDA" w:rsidRDefault="00942EDA" w:rsidP="00942EDA">
      <w:pPr>
        <w:ind w:firstLine="360"/>
        <w:rPr>
          <w:rStyle w:val="Style13ptBold"/>
          <w:b w:val="0"/>
          <w:bCs w:val="0"/>
          <w:sz w:val="22"/>
        </w:rPr>
      </w:pPr>
      <w:r>
        <w:rPr>
          <w:rStyle w:val="Style13ptBold"/>
        </w:rPr>
        <w:t xml:space="preserve">John R. </w:t>
      </w:r>
      <w:r w:rsidRPr="00942EDA">
        <w:rPr>
          <w:rStyle w:val="Style13ptBold"/>
          <w:highlight w:val="yellow"/>
        </w:rPr>
        <w:t>Prager</w:t>
      </w:r>
      <w:r>
        <w:rPr>
          <w:rStyle w:val="Style13ptBold"/>
        </w:rPr>
        <w:t>.  Introduction to Policy Debate. 20</w:t>
      </w:r>
      <w:r w:rsidRPr="00942EDA">
        <w:rPr>
          <w:rStyle w:val="Style13ptBold"/>
          <w:highlight w:val="yellow"/>
        </w:rPr>
        <w:t>02</w:t>
      </w:r>
      <w:proofErr w:type="gramStart"/>
      <w:r>
        <w:rPr>
          <w:rStyle w:val="Style13ptBold"/>
        </w:rPr>
        <w:t>.  From</w:t>
      </w:r>
      <w:proofErr w:type="gramEnd"/>
      <w:r>
        <w:rPr>
          <w:rStyle w:val="Style13ptBold"/>
        </w:rPr>
        <w:t>: http://webpages.charter.net/johnprager/IPD/IPDindex.htm</w:t>
      </w:r>
    </w:p>
    <w:p w14:paraId="43535635" w14:textId="77777777" w:rsidR="00942EDA" w:rsidRDefault="00942EDA" w:rsidP="00942EDA">
      <w:pPr>
        <w:ind w:left="360"/>
        <w:rPr>
          <w:rStyle w:val="StyleUnderline"/>
        </w:rPr>
      </w:pPr>
      <w:r>
        <w:rPr>
          <w:rStyle w:val="StyleUnderline"/>
          <w:highlight w:val="green"/>
        </w:rPr>
        <w:t>The</w:t>
      </w:r>
      <w:r>
        <w:rPr>
          <w:sz w:val="12"/>
          <w:highlight w:val="green"/>
        </w:rPr>
        <w:t xml:space="preserve"> </w:t>
      </w:r>
      <w:r>
        <w:rPr>
          <w:rStyle w:val="StyleUnderline"/>
          <w:highlight w:val="green"/>
        </w:rPr>
        <w:t>Affirmatives</w:t>
      </w:r>
      <w:r>
        <w:rPr>
          <w:sz w:val="12"/>
          <w:highlight w:val="green"/>
        </w:rPr>
        <w:t xml:space="preserve"> power of </w:t>
      </w:r>
      <w:r>
        <w:rPr>
          <w:rStyle w:val="StyleUnderline"/>
          <w:highlight w:val="green"/>
        </w:rPr>
        <w:t>fiat</w:t>
      </w:r>
      <w:r>
        <w:rPr>
          <w:sz w:val="12"/>
          <w:highlight w:val="green"/>
        </w:rPr>
        <w:t xml:space="preserve"> </w:t>
      </w:r>
      <w:r>
        <w:rPr>
          <w:rStyle w:val="StyleUnderline"/>
          <w:highlight w:val="green"/>
        </w:rPr>
        <w:t>allows them to do</w:t>
      </w:r>
      <w:r>
        <w:rPr>
          <w:sz w:val="12"/>
        </w:rPr>
        <w:t xml:space="preserve"> anything they like in </w:t>
      </w:r>
      <w:r>
        <w:rPr>
          <w:rStyle w:val="StyleUnderline"/>
          <w:sz w:val="24"/>
          <w:highlight w:val="green"/>
        </w:rPr>
        <w:t>their plan</w:t>
      </w:r>
      <w:r>
        <w:rPr>
          <w:sz w:val="12"/>
        </w:rPr>
        <w:t>. In most instances, the points of the plan that put the resolution into effect will be clustered together in the mandates plank. But various other support planks finance, enforcement, and administration will also exist. They are vital for the plan to operate, but they are NOT absolutely required by the resolution. All the Affirmative advantages (or solvency points, if the harm / inherency / solvency analysis is used) should be produced from the mandates</w:t>
      </w:r>
      <w:r>
        <w:rPr>
          <w:sz w:val="12"/>
          <w:highlight w:val="green"/>
        </w:rPr>
        <w:t xml:space="preserve">. </w:t>
      </w:r>
      <w:r>
        <w:rPr>
          <w:rStyle w:val="StyleUnderline"/>
          <w:highlight w:val="green"/>
        </w:rPr>
        <w:t xml:space="preserve">The resolution, as embodied in the mandates of the plan, should produce the advantages. Any benefits produced by the support provisions </w:t>
      </w:r>
      <w:proofErr w:type="gramStart"/>
      <w:r>
        <w:rPr>
          <w:rStyle w:val="StyleUnderline"/>
          <w:highlight w:val="green"/>
        </w:rPr>
        <w:t>is</w:t>
      </w:r>
      <w:proofErr w:type="gramEnd"/>
      <w:r>
        <w:rPr>
          <w:rStyle w:val="StyleUnderline"/>
          <w:highlight w:val="green"/>
        </w:rPr>
        <w:t xml:space="preserve"> invalid; it is an </w:t>
      </w:r>
      <w:proofErr w:type="spellStart"/>
      <w:r>
        <w:rPr>
          <w:rStyle w:val="StyleUnderline"/>
          <w:highlight w:val="green"/>
        </w:rPr>
        <w:t>extratopical</w:t>
      </w:r>
      <w:proofErr w:type="spellEnd"/>
      <w:r>
        <w:rPr>
          <w:rStyle w:val="StyleUnderline"/>
          <w:highlight w:val="green"/>
        </w:rPr>
        <w:t xml:space="preserve"> advantage.</w:t>
      </w:r>
      <w:r>
        <w:rPr>
          <w:rStyle w:val="StyleUnderline"/>
        </w:rPr>
        <w:t xml:space="preserve"> </w:t>
      </w:r>
      <w:r>
        <w:rPr>
          <w:sz w:val="12"/>
        </w:rPr>
        <w:t xml:space="preserve">This shows the clear difference between </w:t>
      </w:r>
      <w:proofErr w:type="spellStart"/>
      <w:proofErr w:type="gramStart"/>
      <w:r>
        <w:rPr>
          <w:sz w:val="12"/>
        </w:rPr>
        <w:t>nontopicality</w:t>
      </w:r>
      <w:proofErr w:type="spellEnd"/>
      <w:proofErr w:type="gramEnd"/>
      <w:r>
        <w:rPr>
          <w:sz w:val="12"/>
        </w:rPr>
        <w:t xml:space="preserve"> and </w:t>
      </w:r>
      <w:proofErr w:type="spellStart"/>
      <w:r>
        <w:rPr>
          <w:sz w:val="12"/>
        </w:rPr>
        <w:t>extratopicality</w:t>
      </w:r>
      <w:proofErr w:type="spellEnd"/>
      <w:r>
        <w:rPr>
          <w:sz w:val="12"/>
        </w:rPr>
        <w:t xml:space="preserve">. </w:t>
      </w:r>
      <w:proofErr w:type="spellStart"/>
      <w:r>
        <w:rPr>
          <w:sz w:val="12"/>
        </w:rPr>
        <w:t>Nontopicality</w:t>
      </w:r>
      <w:proofErr w:type="spellEnd"/>
      <w:r>
        <w:rPr>
          <w:sz w:val="12"/>
        </w:rPr>
        <w:t xml:space="preserve"> concentrates on the </w:t>
      </w:r>
      <w:proofErr w:type="gramStart"/>
      <w:r>
        <w:rPr>
          <w:sz w:val="12"/>
        </w:rPr>
        <w:t>plan, and</w:t>
      </w:r>
      <w:proofErr w:type="gramEnd"/>
      <w:r>
        <w:rPr>
          <w:sz w:val="12"/>
        </w:rPr>
        <w:t xml:space="preserve"> argues that the plan doesn’t go far enough to put the resolution into effect. </w:t>
      </w:r>
      <w:proofErr w:type="spellStart"/>
      <w:r>
        <w:rPr>
          <w:rStyle w:val="StyleUnderline"/>
          <w:highlight w:val="green"/>
        </w:rPr>
        <w:t>Extratopicality</w:t>
      </w:r>
      <w:proofErr w:type="spellEnd"/>
      <w:r>
        <w:rPr>
          <w:rStyle w:val="StyleUnderline"/>
          <w:highlight w:val="green"/>
        </w:rPr>
        <w:t xml:space="preserve"> concentrates on one </w:t>
      </w:r>
      <w:proofErr w:type="gramStart"/>
      <w:r>
        <w:rPr>
          <w:rStyle w:val="StyleUnderline"/>
          <w:highlight w:val="green"/>
        </w:rPr>
        <w:t>advantage, and</w:t>
      </w:r>
      <w:proofErr w:type="gramEnd"/>
      <w:r>
        <w:rPr>
          <w:rStyle w:val="StyleUnderline"/>
          <w:highlight w:val="green"/>
        </w:rPr>
        <w:t xml:space="preserve"> argues that the plan goes too far beyond the resolution.</w:t>
      </w:r>
    </w:p>
    <w:p w14:paraId="391A516F" w14:textId="57A0EE1F" w:rsidR="00942EDA" w:rsidRPr="00942EDA" w:rsidRDefault="00942EDA">
      <w:pPr>
        <w:pStyle w:val="ListParagraph"/>
        <w:numPr>
          <w:ilvl w:val="0"/>
          <w:numId w:val="1"/>
        </w:numPr>
        <w:rPr>
          <w:rStyle w:val="StyleUnderline"/>
          <w:sz w:val="24"/>
          <w:u w:val="none"/>
        </w:rPr>
      </w:pPr>
      <w:r w:rsidRPr="00942EDA">
        <w:t>Effects-Topicality:</w:t>
      </w:r>
      <w:r>
        <w:t xml:space="preserve"> </w:t>
      </w:r>
      <w:r w:rsidRPr="00942EDA">
        <w:t>The Aff must defend a plan where the topical action itself is the mandate. They are not topical if public ownership only happens later as an effect of some other policy. If the plan first creates a new program, agency, or structure and only then maybe leads to public ownership, that is effects-topical because the topical part is only a downstream result, not the plan’s direct action.</w:t>
      </w:r>
    </w:p>
    <w:p w14:paraId="6D8F2133" w14:textId="77777777" w:rsidR="00942EDA" w:rsidRPr="00942EDA" w:rsidRDefault="00942EDA" w:rsidP="00942EDA">
      <w:pPr>
        <w:pStyle w:val="Heading4"/>
      </w:pPr>
      <w:r w:rsidRPr="00942EDA">
        <w:t xml:space="preserve">Standards: </w:t>
      </w:r>
    </w:p>
    <w:p w14:paraId="2E137704" w14:textId="599422B9" w:rsidR="00942EDA" w:rsidRPr="00942EDA" w:rsidRDefault="00942EDA">
      <w:pPr>
        <w:pStyle w:val="ListParagraph"/>
        <w:numPr>
          <w:ilvl w:val="0"/>
          <w:numId w:val="3"/>
        </w:numPr>
      </w:pPr>
      <w:r w:rsidRPr="00942EDA">
        <w:t>Predictability: The resolution is the only stable source of Negative preparation. If the Aff can invent new ownership models, add extra planks, or rely on future effects, the Neg cannot reasonably predict what cases will appear.</w:t>
      </w:r>
    </w:p>
    <w:p w14:paraId="3BC9AAD9" w14:textId="014044E4" w:rsidR="00942EDA" w:rsidRPr="00942EDA" w:rsidRDefault="00942EDA">
      <w:pPr>
        <w:pStyle w:val="ListParagraph"/>
        <w:numPr>
          <w:ilvl w:val="0"/>
          <w:numId w:val="3"/>
        </w:numPr>
      </w:pPr>
      <w:r w:rsidRPr="00942EDA">
        <w:t xml:space="preserve">Ground: These limits preserve Negative ground. Extra-topical and effects-topical cases let the Aff access advantages from unpredictable mechanisms while avoiding direct </w:t>
      </w:r>
      <w:proofErr w:type="gramStart"/>
      <w:r w:rsidRPr="00942EDA">
        <w:t>clash</w:t>
      </w:r>
      <w:proofErr w:type="gramEnd"/>
      <w:r w:rsidRPr="00942EDA">
        <w:t xml:space="preserve"> over the actual resolution.</w:t>
      </w:r>
    </w:p>
    <w:p w14:paraId="42AC0ADE" w14:textId="3E2D4C76" w:rsidR="00942EDA" w:rsidRPr="00942EDA" w:rsidRDefault="00942EDA">
      <w:pPr>
        <w:pStyle w:val="ListParagraph"/>
        <w:numPr>
          <w:ilvl w:val="0"/>
          <w:numId w:val="3"/>
        </w:numPr>
      </w:pPr>
      <w:r w:rsidRPr="00942EDA">
        <w:t>Limits: Requiring direct increases to existing ownership relationships creates a manageable topic. Allowing new structures, extra mandates, and indirect future ownership makes the topic effectively infinite.</w:t>
      </w:r>
    </w:p>
    <w:p w14:paraId="5D29BDCA" w14:textId="64698AFC" w:rsidR="00942EDA" w:rsidRPr="00942EDA" w:rsidRDefault="00942EDA">
      <w:pPr>
        <w:pStyle w:val="ListParagraph"/>
        <w:numPr>
          <w:ilvl w:val="0"/>
          <w:numId w:val="3"/>
        </w:numPr>
      </w:pPr>
      <w:r w:rsidRPr="00942EDA">
        <w:t>Research Burden: The Neg can prepare for known government ownership practices and industry literature. The Neg cannot prepare for every hypothetical new federal corporation, transition mechanism, or indirect causal chain the Aff might invent.</w:t>
      </w:r>
    </w:p>
    <w:p w14:paraId="2562D1BD" w14:textId="4306170E" w:rsidR="00942EDA" w:rsidRPr="00942EDA" w:rsidRDefault="00942EDA">
      <w:pPr>
        <w:pStyle w:val="ListParagraph"/>
        <w:numPr>
          <w:ilvl w:val="0"/>
          <w:numId w:val="3"/>
        </w:numPr>
      </w:pPr>
      <w:r w:rsidRPr="00942EDA">
        <w:t>Education: Debate is best when it centers on the actual question in the resolution, whether the federal government should own more of these industries. Extra-topical and effects-topical cases shift the round away from that core controversy.</w:t>
      </w:r>
    </w:p>
    <w:p w14:paraId="771A680D" w14:textId="0F9E02AF" w:rsidR="00942EDA" w:rsidRDefault="00942EDA">
      <w:pPr>
        <w:pStyle w:val="ListParagraph"/>
        <w:numPr>
          <w:ilvl w:val="0"/>
          <w:numId w:val="3"/>
        </w:numPr>
      </w:pPr>
      <w:r w:rsidRPr="00942EDA">
        <w:t>Brightline: Direct increases in existing ownership are easy to identify. New mechanisms and indirect future effects are not. Prefer the interpretation with the clearest line for judges and debaters.</w:t>
      </w:r>
    </w:p>
    <w:p w14:paraId="65BD8BC3" w14:textId="3C788887" w:rsidR="00942EDA" w:rsidRDefault="00942EDA" w:rsidP="00942EDA">
      <w:pPr>
        <w:pStyle w:val="Heading4"/>
        <w:rPr>
          <w:b w:val="0"/>
        </w:rPr>
      </w:pPr>
      <w:r>
        <w:t>Voters:</w:t>
      </w:r>
    </w:p>
    <w:p w14:paraId="33A79CC5" w14:textId="77777777" w:rsidR="00942EDA" w:rsidRDefault="00942EDA">
      <w:pPr>
        <w:pStyle w:val="Heading4"/>
        <w:numPr>
          <w:ilvl w:val="0"/>
          <w:numId w:val="2"/>
        </w:numPr>
        <w:tabs>
          <w:tab w:val="num" w:pos="720"/>
        </w:tabs>
        <w:rPr>
          <w:b w:val="0"/>
        </w:rPr>
      </w:pPr>
      <w:r>
        <w:t xml:space="preserve">Vote on the lost depth of arguments. </w:t>
      </w:r>
      <w:r>
        <w:rPr>
          <w:sz w:val="22"/>
        </w:rPr>
        <w:t xml:space="preserve">Depth over Breath: Research proves – depth better leads to greater future success. </w:t>
      </w:r>
    </w:p>
    <w:p w14:paraId="4035FEBE" w14:textId="77777777" w:rsidR="00942EDA" w:rsidRDefault="00942EDA" w:rsidP="00942EDA">
      <w:pPr>
        <w:rPr>
          <w:bCs/>
          <w:sz w:val="16"/>
          <w:szCs w:val="16"/>
        </w:rPr>
      </w:pPr>
      <w:r>
        <w:rPr>
          <w:rStyle w:val="Style13ptBold"/>
        </w:rPr>
        <w:t xml:space="preserve">Arrington 9 </w:t>
      </w:r>
      <w:r>
        <w:rPr>
          <w:rStyle w:val="Style13ptBold"/>
          <w:b w:val="0"/>
          <w:sz w:val="16"/>
          <w:szCs w:val="16"/>
        </w:rPr>
        <w:t xml:space="preserve">(Rebecca Arrington, Rebecca Arrington is a communications specialist at the CFA institute, March 4, 2009 “Study Finds that Students Benefit From Depth, Rather than Breadth, in High School Science Courses” </w:t>
      </w:r>
      <w:hyperlink r:id="rId9" w:history="1">
        <w:r>
          <w:rPr>
            <w:rStyle w:val="Hyperlink"/>
            <w:sz w:val="16"/>
            <w:szCs w:val="16"/>
          </w:rPr>
          <w:t>https://news.virginia.edu/content/study-finds-students-benefit-depth-rather-breadth-high-school-science-courses</w:t>
        </w:r>
      </w:hyperlink>
      <w:r>
        <w:rPr>
          <w:rStyle w:val="Style13ptBold"/>
          <w:b w:val="0"/>
          <w:sz w:val="16"/>
          <w:szCs w:val="16"/>
        </w:rPr>
        <w:t xml:space="preserve">) </w:t>
      </w:r>
      <w:r>
        <w:rPr>
          <w:rStyle w:val="StyleUnderline"/>
          <w:b/>
          <w:sz w:val="24"/>
          <w:highlight w:val="green"/>
        </w:rPr>
        <w:t xml:space="preserve">A recent study reports that high school students who study fewer </w:t>
      </w:r>
      <w:r>
        <w:rPr>
          <w:b/>
          <w:sz w:val="14"/>
          <w:highlight w:val="green"/>
        </w:rPr>
        <w:t xml:space="preserve">science </w:t>
      </w:r>
      <w:r>
        <w:rPr>
          <w:rStyle w:val="StyleUnderline"/>
          <w:b/>
          <w:sz w:val="24"/>
          <w:highlight w:val="green"/>
        </w:rPr>
        <w:t xml:space="preserve">topics, but study them in greater depth, have </w:t>
      </w:r>
      <w:r>
        <w:rPr>
          <w:rStyle w:val="StyleUnderline"/>
          <w:b/>
          <w:highlight w:val="green"/>
        </w:rPr>
        <w:t>an advantage</w:t>
      </w:r>
      <w:r>
        <w:rPr>
          <w:sz w:val="12"/>
        </w:rPr>
        <w:t xml:space="preserve"> in college science classes </w:t>
      </w:r>
      <w:r>
        <w:rPr>
          <w:rStyle w:val="StyleUnderline"/>
          <w:highlight w:val="green"/>
        </w:rPr>
        <w:t>over their peers who study more topics and spend less time on each</w:t>
      </w:r>
      <w:r>
        <w:rPr>
          <w:rStyle w:val="StyleUnderline"/>
        </w:rPr>
        <w:t xml:space="preserve">. </w:t>
      </w:r>
      <w:r>
        <w:rPr>
          <w:sz w:val="12"/>
        </w:rPr>
        <w:t>Robert Tai, associate professor at the University of Virginia's Curry School of Education, worked with Marc S. Schwartz of the University of Texas at Arlington and Philip M. Sadler and Gerhard Sonnert of the Harvard-Smithsonian Center for Astrophysics to conduct the study and produce the report. "Depth Versus Breadth: How Content Coverage in High School Courses Relates to Later Success in College Science Coursework" relates the amount of content covered on a particular topic in high school classes with students' performance in college-level science classes. The study will appear in the July 2009 print edition of Science Education and is currently available as an online pre-print from the journal. "As a former high school teacher, I always worried about whether it was better to teach less in greater depth or more with no real depth. This study offers evidence that</w:t>
      </w:r>
      <w:r>
        <w:rPr>
          <w:rStyle w:val="StyleUnderline"/>
        </w:rPr>
        <w:t xml:space="preserve"> </w:t>
      </w:r>
      <w:r>
        <w:rPr>
          <w:rStyle w:val="StyleUnderline"/>
          <w:highlight w:val="green"/>
        </w:rPr>
        <w:t>teaching fewer topics in greater depth is a better way to prepare students for success</w:t>
      </w:r>
      <w:r>
        <w:rPr>
          <w:sz w:val="12"/>
        </w:rPr>
        <w:t xml:space="preserve"> in college science," Tai said. "</w:t>
      </w:r>
      <w:r>
        <w:rPr>
          <w:sz w:val="12"/>
          <w:highlight w:val="green"/>
        </w:rPr>
        <w:t xml:space="preserve">These </w:t>
      </w:r>
      <w:r>
        <w:rPr>
          <w:rStyle w:val="StyleUnderline"/>
          <w:highlight w:val="green"/>
        </w:rPr>
        <w:t>results are based on the performance of thousands of college science</w:t>
      </w:r>
      <w:r>
        <w:rPr>
          <w:sz w:val="12"/>
          <w:highlight w:val="green"/>
        </w:rPr>
        <w:t xml:space="preserve"> </w:t>
      </w:r>
      <w:r>
        <w:rPr>
          <w:rStyle w:val="StyleUnderline"/>
          <w:highlight w:val="green"/>
        </w:rPr>
        <w:t>students from across the United States."</w:t>
      </w:r>
      <w:r>
        <w:rPr>
          <w:rStyle w:val="StyleUnderline"/>
        </w:rPr>
        <w:t xml:space="preserve"> </w:t>
      </w:r>
      <w:r>
        <w:rPr>
          <w:sz w:val="12"/>
        </w:rPr>
        <w:t xml:space="preserve">The 8,310 students in the study were enrolled in introductory biology, chemistry or physics in randomly selected four-year colleges and universities. </w:t>
      </w:r>
      <w:r>
        <w:rPr>
          <w:rStyle w:val="StyleUnderline"/>
          <w:b/>
          <w:sz w:val="24"/>
          <w:highlight w:val="green"/>
        </w:rPr>
        <w:t xml:space="preserve">Those who spent one month or more studying one major topic in-depth in high school earned higher grades in college science than their peers who studied more topics in the same </w:t>
      </w:r>
      <w:proofErr w:type="gramStart"/>
      <w:r>
        <w:rPr>
          <w:rStyle w:val="StyleUnderline"/>
          <w:b/>
          <w:sz w:val="24"/>
          <w:highlight w:val="green"/>
        </w:rPr>
        <w:t>period of time</w:t>
      </w:r>
      <w:proofErr w:type="gramEnd"/>
      <w:r>
        <w:rPr>
          <w:rStyle w:val="StyleUnderline"/>
        </w:rPr>
        <w:t xml:space="preserve">. </w:t>
      </w:r>
      <w:r>
        <w:rPr>
          <w:sz w:val="12"/>
        </w:rPr>
        <w:t xml:space="preserve">The study revealed that </w:t>
      </w:r>
      <w:r>
        <w:rPr>
          <w:rStyle w:val="StyleUnderline"/>
        </w:rPr>
        <w:t>students in courses that focused on mastering a particular topic were impacted twice as much as those in courses that touched on every major topic.</w:t>
      </w:r>
      <w:r>
        <w:rPr>
          <w:sz w:val="12"/>
        </w:rPr>
        <w:t xml:space="preserve"> The study explored differences between science disciplines, teacher decisions about classroom activities, and out-of-class projects and homework. </w:t>
      </w:r>
      <w:r>
        <w:rPr>
          <w:rStyle w:val="StyleUnderline"/>
        </w:rPr>
        <w:t xml:space="preserve">The researchers carefully </w:t>
      </w:r>
      <w:proofErr w:type="gramStart"/>
      <w:r>
        <w:rPr>
          <w:rStyle w:val="StyleUnderline"/>
        </w:rPr>
        <w:t>controlled for</w:t>
      </w:r>
      <w:proofErr w:type="gramEnd"/>
      <w:r>
        <w:rPr>
          <w:rStyle w:val="StyleUnderline"/>
        </w:rPr>
        <w:t xml:space="preserve"> differences in student backgrounds.</w:t>
      </w:r>
      <w:r>
        <w:rPr>
          <w:sz w:val="12"/>
        </w:rPr>
        <w:t xml:space="preserve"> The study also points out that standardized testing, which seeks to measure overall knowledge in an entire discipline, may not capture a student's high level of mastery in a few key science topics. Teachers who "teach to the test" may not be optimizing their students' chance of success in college science courses, Tai noted. "President Obama has challenged the nation to become the most educated in the world by having the largest proportion of college graduates among its citizens in the coming decade," Tai said. "To meet this challenge</w:t>
      </w:r>
      <w:r>
        <w:rPr>
          <w:rStyle w:val="StyleUnderline"/>
        </w:rPr>
        <w:t>, it is</w:t>
      </w:r>
      <w:r>
        <w:rPr>
          <w:sz w:val="12"/>
        </w:rPr>
        <w:t xml:space="preserve"> </w:t>
      </w:r>
      <w:r>
        <w:rPr>
          <w:rStyle w:val="StyleUnderline"/>
        </w:rPr>
        <w:t>imperative that we use the research to inform our educational practice</w:t>
      </w:r>
      <w:r>
        <w:rPr>
          <w:sz w:val="12"/>
        </w:rPr>
        <w:t>." The study was part of the Factors Influencing College Science Success study, funded by the National Science Foundation. It is currently published online in Science Education, a peer-reviewed educational research journal, published by J. Wiley &amp; Sons.</w:t>
      </w:r>
    </w:p>
    <w:p w14:paraId="727A9C4E" w14:textId="77777777" w:rsidR="00942EDA" w:rsidRDefault="00942EDA">
      <w:pPr>
        <w:pStyle w:val="Heading4"/>
        <w:numPr>
          <w:ilvl w:val="0"/>
          <w:numId w:val="2"/>
        </w:numPr>
        <w:tabs>
          <w:tab w:val="num" w:pos="720"/>
        </w:tabs>
        <w:rPr>
          <w:b w:val="0"/>
        </w:rPr>
      </w:pPr>
      <w:r>
        <w:t>Don’t allow their Reasonability arguments it is impossible – it’s arbitrary and undermines research and preparation</w:t>
      </w:r>
    </w:p>
    <w:p w14:paraId="64CB6202" w14:textId="77777777" w:rsidR="00942EDA" w:rsidRDefault="00942EDA" w:rsidP="00942EDA">
      <w:r>
        <w:rPr>
          <w:rStyle w:val="Style13ptBold"/>
        </w:rPr>
        <w:t>Resnick</w:t>
      </w:r>
      <w:r>
        <w:t xml:space="preserve">, assistant professor of political science – Yeshiva University, </w:t>
      </w:r>
      <w:r>
        <w:rPr>
          <w:rStyle w:val="Style13ptBold"/>
        </w:rPr>
        <w:t>‘1</w:t>
      </w:r>
    </w:p>
    <w:p w14:paraId="697BC25D" w14:textId="77777777" w:rsidR="00942EDA" w:rsidRDefault="00942EDA" w:rsidP="00942EDA">
      <w:r>
        <w:t xml:space="preserve">(Evan, “Defining Engagement,” Journal of International Affairs, Vol. 54, </w:t>
      </w:r>
      <w:proofErr w:type="spellStart"/>
      <w:r>
        <w:t>Iss</w:t>
      </w:r>
      <w:proofErr w:type="spellEnd"/>
      <w:r>
        <w:t>. 2)</w:t>
      </w:r>
    </w:p>
    <w:p w14:paraId="4BDC493E" w14:textId="77777777" w:rsidR="00942EDA" w:rsidRDefault="00942EDA" w:rsidP="00942EDA">
      <w:pPr>
        <w:rPr>
          <w:sz w:val="16"/>
        </w:rPr>
      </w:pPr>
      <w:r>
        <w:rPr>
          <w:sz w:val="16"/>
        </w:rPr>
        <w:t xml:space="preserve">In matters of national security, establishing </w:t>
      </w:r>
      <w:r>
        <w:rPr>
          <w:rStyle w:val="StyleUnderline"/>
          <w:highlight w:val="green"/>
        </w:rPr>
        <w:t>a clear definition of terms is a precondition</w:t>
      </w:r>
      <w:r>
        <w:rPr>
          <w:sz w:val="16"/>
        </w:rPr>
        <w:t xml:space="preserve"> for effective policymaking. </w:t>
      </w:r>
      <w:proofErr w:type="gramStart"/>
      <w:r>
        <w:rPr>
          <w:rStyle w:val="StyleUnderline"/>
          <w:highlight w:val="green"/>
        </w:rPr>
        <w:t>Decisionmakers</w:t>
      </w:r>
      <w:proofErr w:type="gramEnd"/>
      <w:r>
        <w:rPr>
          <w:rStyle w:val="StyleUnderline"/>
          <w:highlight w:val="green"/>
        </w:rPr>
        <w:t xml:space="preserve"> who invoke critical terms in an erratic, ad hoc fashion risk</w:t>
      </w:r>
      <w:r>
        <w:rPr>
          <w:sz w:val="16"/>
        </w:rPr>
        <w:t xml:space="preserve"> alienating their constituencies. They also risk </w:t>
      </w:r>
      <w:r>
        <w:rPr>
          <w:rStyle w:val="StyleUnderline"/>
          <w:highlight w:val="green"/>
        </w:rPr>
        <w:t>exacerbating misperceptions</w:t>
      </w:r>
      <w:r>
        <w:rPr>
          <w:sz w:val="16"/>
        </w:rPr>
        <w:t xml:space="preserve"> and hostility among those </w:t>
      </w:r>
      <w:proofErr w:type="gramStart"/>
      <w:r>
        <w:rPr>
          <w:sz w:val="16"/>
        </w:rPr>
        <w:t>the policies</w:t>
      </w:r>
      <w:proofErr w:type="gramEnd"/>
      <w:r>
        <w:rPr>
          <w:sz w:val="16"/>
        </w:rPr>
        <w:t xml:space="preserve"> target. </w:t>
      </w:r>
      <w:r>
        <w:rPr>
          <w:rStyle w:val="StyleUnderline"/>
        </w:rPr>
        <w:t>S</w:t>
      </w:r>
      <w:r>
        <w:rPr>
          <w:rStyle w:val="StyleUnderline"/>
          <w:highlight w:val="green"/>
        </w:rPr>
        <w:t>cholars who commit the same error undercut their ability to conduct valuable empirical research</w:t>
      </w:r>
      <w:r>
        <w:rPr>
          <w:sz w:val="16"/>
        </w:rPr>
        <w:t>. Hence, if scholars and policymakers fail rigorously to define "engagement," they undermine the ability to build an effective foreign policy.</w:t>
      </w:r>
    </w:p>
    <w:p w14:paraId="5CF2B919" w14:textId="77777777" w:rsidR="00942EDA" w:rsidRDefault="00942EDA">
      <w:pPr>
        <w:pStyle w:val="Heading4"/>
        <w:numPr>
          <w:ilvl w:val="0"/>
          <w:numId w:val="2"/>
        </w:numPr>
        <w:tabs>
          <w:tab w:val="num" w:pos="720"/>
        </w:tabs>
        <w:rPr>
          <w:b w:val="0"/>
        </w:rPr>
      </w:pPr>
      <w:r>
        <w:t xml:space="preserve">Framer’s intent is the </w:t>
      </w:r>
      <w:r>
        <w:rPr>
          <w:u w:val="single"/>
        </w:rPr>
        <w:t>basis</w:t>
      </w:r>
      <w:r>
        <w:t xml:space="preserve"> of predictability --- without it, it’s impossible to interpret the topic</w:t>
      </w:r>
    </w:p>
    <w:p w14:paraId="66B3CB4C" w14:textId="77777777" w:rsidR="00942EDA" w:rsidRDefault="00942EDA" w:rsidP="00942EDA">
      <w:r>
        <w:rPr>
          <w:rStyle w:val="Style13ptBold"/>
        </w:rPr>
        <w:t>Hutchison 8</w:t>
      </w:r>
      <w:r>
        <w:t xml:space="preserve"> (Cameron, Assistant Professor of Law – University of Alberta, “Which Kraft of Statutory Interpretation”, Alberta Law Review, November, 46 Alberta L. Rev. 1, Lexis) </w:t>
      </w:r>
      <w:r>
        <w:rPr>
          <w:sz w:val="16"/>
        </w:rPr>
        <w:t>Second</w:t>
      </w:r>
      <w:r>
        <w:rPr>
          <w:sz w:val="16"/>
          <w:highlight w:val="green"/>
        </w:rPr>
        <w:t xml:space="preserve">, </w:t>
      </w:r>
      <w:r>
        <w:rPr>
          <w:highlight w:val="green"/>
          <w:u w:val="single"/>
        </w:rPr>
        <w:t xml:space="preserve">it is </w:t>
      </w:r>
      <w:r>
        <w:rPr>
          <w:rStyle w:val="Emphasis"/>
          <w:rFonts w:cstheme="minorBidi"/>
          <w:highlight w:val="green"/>
        </w:rPr>
        <w:t>not possible</w:t>
      </w:r>
      <w:r>
        <w:rPr>
          <w:rStyle w:val="StyleUnderline"/>
          <w:highlight w:val="green"/>
        </w:rPr>
        <w:t xml:space="preserve"> to interpret </w:t>
      </w:r>
      <w:r>
        <w:rPr>
          <w:rStyle w:val="Emphasis"/>
          <w:rFonts w:cstheme="minorBidi"/>
          <w:highlight w:val="green"/>
        </w:rPr>
        <w:t>even a single word</w:t>
      </w:r>
      <w:r>
        <w:rPr>
          <w:highlight w:val="green"/>
          <w:u w:val="single"/>
        </w:rPr>
        <w:t>, much less an entire text, without knowing the purpose of the statute</w:t>
      </w:r>
      <w:r>
        <w:rPr>
          <w:sz w:val="16"/>
          <w:highlight w:val="green"/>
        </w:rPr>
        <w:t xml:space="preserve">. </w:t>
      </w:r>
      <w:hyperlink r:id="rId10" w:anchor="n123#n123" w:tgtFrame="_self" w:history="1">
        <w:r>
          <w:rPr>
            <w:rStyle w:val="Hyperlink"/>
            <w:sz w:val="16"/>
            <w:highlight w:val="green"/>
          </w:rPr>
          <w:t>123</w:t>
        </w:r>
      </w:hyperlink>
      <w:r>
        <w:rPr>
          <w:sz w:val="16"/>
          <w:highlight w:val="green"/>
        </w:rPr>
        <w:t xml:space="preserve"> </w:t>
      </w:r>
      <w:r>
        <w:rPr>
          <w:highlight w:val="green"/>
          <w:u w:val="single"/>
        </w:rPr>
        <w:t>To take Hart's "no vehicle in the park" example, if local patriots were to wheel a truck used in World War II on a pedestal, would this qualify</w:t>
      </w:r>
      <w:r>
        <w:rPr>
          <w:sz w:val="16"/>
        </w:rPr>
        <w:t xml:space="preserve"> as a core case? This example illustrates that </w:t>
      </w:r>
      <w:r>
        <w:rPr>
          <w:u w:val="single"/>
        </w:rPr>
        <w:t>meaning of language in a statute cannot be divorced from an inquiry into the purpose that a rule serves</w:t>
      </w:r>
      <w:r>
        <w:rPr>
          <w:sz w:val="16"/>
        </w:rPr>
        <w:t xml:space="preserve">. </w:t>
      </w:r>
      <w:r>
        <w:rPr>
          <w:u w:val="single"/>
        </w:rPr>
        <w:t xml:space="preserve">When courts are offered competing interpretations, they </w:t>
      </w:r>
      <w:r>
        <w:rPr>
          <w:rStyle w:val="Emphasis"/>
          <w:rFonts w:cstheme="minorBidi"/>
        </w:rPr>
        <w:t>must choose</w:t>
      </w:r>
      <w:r>
        <w:rPr>
          <w:rStyle w:val="StyleUnderline"/>
        </w:rPr>
        <w:t xml:space="preserve"> the one that is most sensible </w:t>
      </w:r>
      <w:r>
        <w:rPr>
          <w:rStyle w:val="Emphasis"/>
          <w:rFonts w:cstheme="minorBidi"/>
        </w:rPr>
        <w:t>in connection with its legislative purpose</w:t>
      </w:r>
      <w:r>
        <w:rPr>
          <w:sz w:val="16"/>
        </w:rPr>
        <w:t xml:space="preserve">, </w:t>
      </w:r>
      <w:hyperlink r:id="rId11" w:anchor="n124#n124" w:tgtFrame="_self" w:history="1">
        <w:r>
          <w:rPr>
            <w:rStyle w:val="Hyperlink"/>
            <w:sz w:val="16"/>
          </w:rPr>
          <w:t>124</w:t>
        </w:r>
      </w:hyperlink>
      <w:r>
        <w:rPr>
          <w:sz w:val="16"/>
        </w:rPr>
        <w:t xml:space="preserve"> and makes the statute "a coherent [and] workable whole." </w:t>
      </w:r>
      <w:hyperlink r:id="rId12" w:anchor="n125#n125" w:tgtFrame="_self" w:history="1">
        <w:r>
          <w:rPr>
            <w:rStyle w:val="Hyperlink"/>
            <w:sz w:val="16"/>
          </w:rPr>
          <w:t>125</w:t>
        </w:r>
      </w:hyperlink>
      <w:r>
        <w:rPr>
          <w:sz w:val="16"/>
        </w:rPr>
        <w:t xml:space="preserve"> Moreover, the purpose of a statute is not static, but through interpretation, courts engage in a process of redefining and clarifying the ends themselves. </w:t>
      </w:r>
      <w:hyperlink r:id="rId13" w:anchor="n126#n126" w:tgtFrame="_self" w:history="1">
        <w:r>
          <w:rPr>
            <w:rStyle w:val="Hyperlink"/>
            <w:sz w:val="16"/>
          </w:rPr>
          <w:t>126</w:t>
        </w:r>
      </w:hyperlink>
      <w:r>
        <w:rPr>
          <w:sz w:val="16"/>
        </w:rPr>
        <w:t xml:space="preserve"> As Fuller puts it, courts must "be sufficiently capable of putting [themselves] in the position of those who drafted the rule to know what they thought 'ought to be.' It is in the light of this 'ought' that [they] must decide what the rule 'is.'" </w:t>
      </w:r>
      <w:hyperlink r:id="rId14" w:anchor="n127#n127" w:tgtFrame="_self" w:history="1">
        <w:r>
          <w:rPr>
            <w:rStyle w:val="Hyperlink"/>
            <w:sz w:val="16"/>
          </w:rPr>
          <w:t>127</w:t>
        </w:r>
      </w:hyperlink>
    </w:p>
    <w:p w14:paraId="1A8B0CEF" w14:textId="77777777" w:rsidR="00942EDA" w:rsidRDefault="00942EDA">
      <w:pPr>
        <w:pStyle w:val="Heading4"/>
        <w:numPr>
          <w:ilvl w:val="0"/>
          <w:numId w:val="2"/>
        </w:numPr>
        <w:tabs>
          <w:tab w:val="num" w:pos="720"/>
        </w:tabs>
        <w:rPr>
          <w:b w:val="0"/>
        </w:rPr>
      </w:pPr>
      <w:r>
        <w:t>A- prior and a rule of NFA- LD</w:t>
      </w:r>
    </w:p>
    <w:p w14:paraId="637BFCFF" w14:textId="77777777" w:rsidR="00942EDA" w:rsidRDefault="00942EDA" w:rsidP="00942EDA"/>
    <w:p w14:paraId="1D5AE0B9" w14:textId="77777777" w:rsidR="005D388F" w:rsidRPr="005D388F" w:rsidRDefault="005D388F" w:rsidP="005D388F"/>
    <w:sectPr w:rsidR="005D388F" w:rsidRPr="005D388F" w:rsidSect="00942E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6BA6E" w14:textId="77777777" w:rsidR="00C94225" w:rsidRDefault="00C94225" w:rsidP="00066D2C">
      <w:pPr>
        <w:spacing w:after="0" w:line="240" w:lineRule="auto"/>
      </w:pPr>
      <w:r>
        <w:separator/>
      </w:r>
    </w:p>
  </w:endnote>
  <w:endnote w:type="continuationSeparator" w:id="0">
    <w:p w14:paraId="234050EF" w14:textId="77777777" w:rsidR="00C94225" w:rsidRDefault="00C94225" w:rsidP="00066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94D07" w14:textId="77777777" w:rsidR="00C94225" w:rsidRDefault="00C94225" w:rsidP="00066D2C">
      <w:pPr>
        <w:spacing w:after="0" w:line="240" w:lineRule="auto"/>
      </w:pPr>
      <w:r>
        <w:separator/>
      </w:r>
    </w:p>
  </w:footnote>
  <w:footnote w:type="continuationSeparator" w:id="0">
    <w:p w14:paraId="685BD006" w14:textId="77777777" w:rsidR="00C94225" w:rsidRDefault="00C94225" w:rsidP="00066D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A1006"/>
    <w:multiLevelType w:val="hybridMultilevel"/>
    <w:tmpl w:val="657CCF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50369F8"/>
    <w:multiLevelType w:val="hybridMultilevel"/>
    <w:tmpl w:val="07FCA9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E0B753A"/>
    <w:multiLevelType w:val="hybridMultilevel"/>
    <w:tmpl w:val="755CC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F53D43"/>
    <w:multiLevelType w:val="hybridMultilevel"/>
    <w:tmpl w:val="07FCA95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30084765">
    <w:abstractNumId w:val="1"/>
  </w:num>
  <w:num w:numId="2" w16cid:durableId="10859986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208125">
    <w:abstractNumId w:val="3"/>
  </w:num>
  <w:num w:numId="4" w16cid:durableId="5656260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S" w:val="Windows NT"/>
    <w:docVar w:name="OSVersion" w:val="10.0"/>
    <w:docVar w:name="RibbonPointer" w:val="1898789897264"/>
    <w:docVar w:name="VerbatimVersion" w:val="6.0.0"/>
    <w:docVar w:name="WordVersion" w:val="16.0"/>
  </w:docVars>
  <w:rsids>
    <w:rsidRoot w:val="00942EDA"/>
    <w:rsid w:val="00001C7E"/>
    <w:rsid w:val="0000487C"/>
    <w:rsid w:val="00011FEF"/>
    <w:rsid w:val="00013C8B"/>
    <w:rsid w:val="00023AEF"/>
    <w:rsid w:val="000250CA"/>
    <w:rsid w:val="00032119"/>
    <w:rsid w:val="000427BD"/>
    <w:rsid w:val="00043C82"/>
    <w:rsid w:val="00050713"/>
    <w:rsid w:val="00053D0F"/>
    <w:rsid w:val="00056966"/>
    <w:rsid w:val="000615B0"/>
    <w:rsid w:val="00063921"/>
    <w:rsid w:val="000657E9"/>
    <w:rsid w:val="00066D2C"/>
    <w:rsid w:val="0007328F"/>
    <w:rsid w:val="00074F1E"/>
    <w:rsid w:val="0007573B"/>
    <w:rsid w:val="0007578B"/>
    <w:rsid w:val="0007692C"/>
    <w:rsid w:val="00076EA7"/>
    <w:rsid w:val="00080E37"/>
    <w:rsid w:val="00080F27"/>
    <w:rsid w:val="000912B1"/>
    <w:rsid w:val="00093AB9"/>
    <w:rsid w:val="00094DF4"/>
    <w:rsid w:val="000961CD"/>
    <w:rsid w:val="000A0198"/>
    <w:rsid w:val="000A0585"/>
    <w:rsid w:val="000A218A"/>
    <w:rsid w:val="000A239C"/>
    <w:rsid w:val="000A4AE6"/>
    <w:rsid w:val="000A5EE1"/>
    <w:rsid w:val="000B3425"/>
    <w:rsid w:val="000B5FBB"/>
    <w:rsid w:val="000B6974"/>
    <w:rsid w:val="000B6B3E"/>
    <w:rsid w:val="000C137E"/>
    <w:rsid w:val="000D0D08"/>
    <w:rsid w:val="000D739E"/>
    <w:rsid w:val="000D7A2C"/>
    <w:rsid w:val="000E0913"/>
    <w:rsid w:val="000E13F7"/>
    <w:rsid w:val="000E2525"/>
    <w:rsid w:val="000F5C68"/>
    <w:rsid w:val="000F6390"/>
    <w:rsid w:val="000F6530"/>
    <w:rsid w:val="000F775F"/>
    <w:rsid w:val="001014FC"/>
    <w:rsid w:val="001033C7"/>
    <w:rsid w:val="0010417F"/>
    <w:rsid w:val="00105540"/>
    <w:rsid w:val="00105C8A"/>
    <w:rsid w:val="001119CE"/>
    <w:rsid w:val="001128A3"/>
    <w:rsid w:val="00114316"/>
    <w:rsid w:val="001149FE"/>
    <w:rsid w:val="00117F85"/>
    <w:rsid w:val="00117F87"/>
    <w:rsid w:val="001218F5"/>
    <w:rsid w:val="00122202"/>
    <w:rsid w:val="00127061"/>
    <w:rsid w:val="00131B53"/>
    <w:rsid w:val="001327C1"/>
    <w:rsid w:val="001329A3"/>
    <w:rsid w:val="00134120"/>
    <w:rsid w:val="001356C8"/>
    <w:rsid w:val="001378C8"/>
    <w:rsid w:val="00140A6B"/>
    <w:rsid w:val="00144AD4"/>
    <w:rsid w:val="00146731"/>
    <w:rsid w:val="00146F2E"/>
    <w:rsid w:val="00150A2E"/>
    <w:rsid w:val="00152BF7"/>
    <w:rsid w:val="00163574"/>
    <w:rsid w:val="001645D4"/>
    <w:rsid w:val="0016567B"/>
    <w:rsid w:val="0016568A"/>
    <w:rsid w:val="00170A72"/>
    <w:rsid w:val="00171A2A"/>
    <w:rsid w:val="001723BA"/>
    <w:rsid w:val="00175A0C"/>
    <w:rsid w:val="00180A4E"/>
    <w:rsid w:val="00181F58"/>
    <w:rsid w:val="00186B65"/>
    <w:rsid w:val="00190CDA"/>
    <w:rsid w:val="00196816"/>
    <w:rsid w:val="0019779A"/>
    <w:rsid w:val="001977CD"/>
    <w:rsid w:val="0019782C"/>
    <w:rsid w:val="001A07A2"/>
    <w:rsid w:val="001A1422"/>
    <w:rsid w:val="001A3079"/>
    <w:rsid w:val="001A4D9A"/>
    <w:rsid w:val="001A6960"/>
    <w:rsid w:val="001B1595"/>
    <w:rsid w:val="001B1762"/>
    <w:rsid w:val="001B18CF"/>
    <w:rsid w:val="001B2C27"/>
    <w:rsid w:val="001C0A69"/>
    <w:rsid w:val="001C48D7"/>
    <w:rsid w:val="001D1994"/>
    <w:rsid w:val="001D6D5C"/>
    <w:rsid w:val="001D7A6D"/>
    <w:rsid w:val="001E4A64"/>
    <w:rsid w:val="001E61F5"/>
    <w:rsid w:val="001F0C01"/>
    <w:rsid w:val="001F1F4D"/>
    <w:rsid w:val="002005AF"/>
    <w:rsid w:val="00200C1A"/>
    <w:rsid w:val="002052E3"/>
    <w:rsid w:val="00210DC2"/>
    <w:rsid w:val="002110D6"/>
    <w:rsid w:val="002152F9"/>
    <w:rsid w:val="0021530A"/>
    <w:rsid w:val="002212A9"/>
    <w:rsid w:val="002234FB"/>
    <w:rsid w:val="00225437"/>
    <w:rsid w:val="002263A1"/>
    <w:rsid w:val="00232746"/>
    <w:rsid w:val="00236707"/>
    <w:rsid w:val="00241116"/>
    <w:rsid w:val="0024328E"/>
    <w:rsid w:val="002508CB"/>
    <w:rsid w:val="002514A7"/>
    <w:rsid w:val="00253733"/>
    <w:rsid w:val="00256AC0"/>
    <w:rsid w:val="002573AF"/>
    <w:rsid w:val="00263CC5"/>
    <w:rsid w:val="00271866"/>
    <w:rsid w:val="00276E12"/>
    <w:rsid w:val="00277BB1"/>
    <w:rsid w:val="00281B05"/>
    <w:rsid w:val="00282932"/>
    <w:rsid w:val="00282FFC"/>
    <w:rsid w:val="002878D0"/>
    <w:rsid w:val="00290F1B"/>
    <w:rsid w:val="00291C09"/>
    <w:rsid w:val="002A3018"/>
    <w:rsid w:val="002A4DA5"/>
    <w:rsid w:val="002A57B1"/>
    <w:rsid w:val="002B2116"/>
    <w:rsid w:val="002B3050"/>
    <w:rsid w:val="002B5F0C"/>
    <w:rsid w:val="002C0731"/>
    <w:rsid w:val="002C0B33"/>
    <w:rsid w:val="002C30D9"/>
    <w:rsid w:val="002C6C7D"/>
    <w:rsid w:val="002C769C"/>
    <w:rsid w:val="002D2594"/>
    <w:rsid w:val="002D3647"/>
    <w:rsid w:val="002D418C"/>
    <w:rsid w:val="002E663F"/>
    <w:rsid w:val="002F0384"/>
    <w:rsid w:val="002F276B"/>
    <w:rsid w:val="002F28CE"/>
    <w:rsid w:val="002F2CFC"/>
    <w:rsid w:val="002F37D1"/>
    <w:rsid w:val="002F5A47"/>
    <w:rsid w:val="002F636E"/>
    <w:rsid w:val="00300F2F"/>
    <w:rsid w:val="00304257"/>
    <w:rsid w:val="00304A78"/>
    <w:rsid w:val="00306FDE"/>
    <w:rsid w:val="00307FBA"/>
    <w:rsid w:val="003106D9"/>
    <w:rsid w:val="00311112"/>
    <w:rsid w:val="00311C1F"/>
    <w:rsid w:val="0031266A"/>
    <w:rsid w:val="0031761F"/>
    <w:rsid w:val="00323E50"/>
    <w:rsid w:val="003264E7"/>
    <w:rsid w:val="00333A69"/>
    <w:rsid w:val="003352D6"/>
    <w:rsid w:val="00345BF2"/>
    <w:rsid w:val="00347131"/>
    <w:rsid w:val="003479B5"/>
    <w:rsid w:val="003500B6"/>
    <w:rsid w:val="00352622"/>
    <w:rsid w:val="00355B45"/>
    <w:rsid w:val="00361FA0"/>
    <w:rsid w:val="003662DB"/>
    <w:rsid w:val="00367D96"/>
    <w:rsid w:val="003706D8"/>
    <w:rsid w:val="00373B7F"/>
    <w:rsid w:val="003753F6"/>
    <w:rsid w:val="003779C8"/>
    <w:rsid w:val="00382DF7"/>
    <w:rsid w:val="0039157C"/>
    <w:rsid w:val="00392D93"/>
    <w:rsid w:val="00393EF2"/>
    <w:rsid w:val="00394F71"/>
    <w:rsid w:val="00396D52"/>
    <w:rsid w:val="003A46B4"/>
    <w:rsid w:val="003A5CE8"/>
    <w:rsid w:val="003A698D"/>
    <w:rsid w:val="003B17B3"/>
    <w:rsid w:val="003B4705"/>
    <w:rsid w:val="003B4F86"/>
    <w:rsid w:val="003B734D"/>
    <w:rsid w:val="003C177C"/>
    <w:rsid w:val="003C251E"/>
    <w:rsid w:val="003C3CCA"/>
    <w:rsid w:val="003C6CA9"/>
    <w:rsid w:val="003D3B44"/>
    <w:rsid w:val="003D4150"/>
    <w:rsid w:val="003D5367"/>
    <w:rsid w:val="003F3920"/>
    <w:rsid w:val="003F4D5F"/>
    <w:rsid w:val="00405AD7"/>
    <w:rsid w:val="004127EF"/>
    <w:rsid w:val="00414EB4"/>
    <w:rsid w:val="004208C6"/>
    <w:rsid w:val="00425531"/>
    <w:rsid w:val="00425A83"/>
    <w:rsid w:val="00426CC6"/>
    <w:rsid w:val="00431905"/>
    <w:rsid w:val="004326E6"/>
    <w:rsid w:val="00432F5F"/>
    <w:rsid w:val="0043419E"/>
    <w:rsid w:val="0043450D"/>
    <w:rsid w:val="004348C6"/>
    <w:rsid w:val="00434BCC"/>
    <w:rsid w:val="004350BF"/>
    <w:rsid w:val="00435588"/>
    <w:rsid w:val="004433A0"/>
    <w:rsid w:val="004436F8"/>
    <w:rsid w:val="00447BAE"/>
    <w:rsid w:val="00450DA4"/>
    <w:rsid w:val="00457F13"/>
    <w:rsid w:val="004604DA"/>
    <w:rsid w:val="00462267"/>
    <w:rsid w:val="00462B60"/>
    <w:rsid w:val="00474720"/>
    <w:rsid w:val="00480A40"/>
    <w:rsid w:val="004827C9"/>
    <w:rsid w:val="00486F5E"/>
    <w:rsid w:val="004875B9"/>
    <w:rsid w:val="00491C5F"/>
    <w:rsid w:val="0049341D"/>
    <w:rsid w:val="00493AA8"/>
    <w:rsid w:val="004A2B4E"/>
    <w:rsid w:val="004A40AB"/>
    <w:rsid w:val="004A539A"/>
    <w:rsid w:val="004A74B8"/>
    <w:rsid w:val="004B3C97"/>
    <w:rsid w:val="004B4D3B"/>
    <w:rsid w:val="004B5436"/>
    <w:rsid w:val="004C2990"/>
    <w:rsid w:val="004C5E96"/>
    <w:rsid w:val="004C7B42"/>
    <w:rsid w:val="004D05AA"/>
    <w:rsid w:val="004D14C3"/>
    <w:rsid w:val="004D2C8F"/>
    <w:rsid w:val="004D43AE"/>
    <w:rsid w:val="004D5EAC"/>
    <w:rsid w:val="004D6EEE"/>
    <w:rsid w:val="004D73E6"/>
    <w:rsid w:val="004D7907"/>
    <w:rsid w:val="004E6CD8"/>
    <w:rsid w:val="004E6F12"/>
    <w:rsid w:val="004E746C"/>
    <w:rsid w:val="004E7533"/>
    <w:rsid w:val="004F16CA"/>
    <w:rsid w:val="004F4139"/>
    <w:rsid w:val="004F682B"/>
    <w:rsid w:val="00500F93"/>
    <w:rsid w:val="005015BF"/>
    <w:rsid w:val="00503593"/>
    <w:rsid w:val="005036B1"/>
    <w:rsid w:val="00511177"/>
    <w:rsid w:val="005125C9"/>
    <w:rsid w:val="00515BDD"/>
    <w:rsid w:val="00521B9F"/>
    <w:rsid w:val="005268F8"/>
    <w:rsid w:val="0053626E"/>
    <w:rsid w:val="00544936"/>
    <w:rsid w:val="005449A8"/>
    <w:rsid w:val="0055242A"/>
    <w:rsid w:val="005525AE"/>
    <w:rsid w:val="005546C5"/>
    <w:rsid w:val="005558FC"/>
    <w:rsid w:val="00557B59"/>
    <w:rsid w:val="00565142"/>
    <w:rsid w:val="00567D6A"/>
    <w:rsid w:val="00567D90"/>
    <w:rsid w:val="00575723"/>
    <w:rsid w:val="00583644"/>
    <w:rsid w:val="00585F11"/>
    <w:rsid w:val="005906F9"/>
    <w:rsid w:val="005932B4"/>
    <w:rsid w:val="005A3550"/>
    <w:rsid w:val="005A4DE4"/>
    <w:rsid w:val="005A6204"/>
    <w:rsid w:val="005A6D5A"/>
    <w:rsid w:val="005B41CE"/>
    <w:rsid w:val="005B566C"/>
    <w:rsid w:val="005B5DC5"/>
    <w:rsid w:val="005B6286"/>
    <w:rsid w:val="005C1630"/>
    <w:rsid w:val="005C2AEB"/>
    <w:rsid w:val="005C5B70"/>
    <w:rsid w:val="005D027B"/>
    <w:rsid w:val="005D3400"/>
    <w:rsid w:val="005D3778"/>
    <w:rsid w:val="005D388F"/>
    <w:rsid w:val="005D45F4"/>
    <w:rsid w:val="005D700C"/>
    <w:rsid w:val="005E0F22"/>
    <w:rsid w:val="005E43F7"/>
    <w:rsid w:val="005E5941"/>
    <w:rsid w:val="005E78A2"/>
    <w:rsid w:val="005F5E14"/>
    <w:rsid w:val="00622773"/>
    <w:rsid w:val="00622C58"/>
    <w:rsid w:val="0062614B"/>
    <w:rsid w:val="006266E2"/>
    <w:rsid w:val="0063037B"/>
    <w:rsid w:val="00632C54"/>
    <w:rsid w:val="00635616"/>
    <w:rsid w:val="00641E99"/>
    <w:rsid w:val="006463F8"/>
    <w:rsid w:val="00650C88"/>
    <w:rsid w:val="0065258E"/>
    <w:rsid w:val="00655035"/>
    <w:rsid w:val="00656814"/>
    <w:rsid w:val="00657A00"/>
    <w:rsid w:val="006633F4"/>
    <w:rsid w:val="0066638E"/>
    <w:rsid w:val="00666CC0"/>
    <w:rsid w:val="00673C22"/>
    <w:rsid w:val="0067482D"/>
    <w:rsid w:val="0067732F"/>
    <w:rsid w:val="00681007"/>
    <w:rsid w:val="0068122B"/>
    <w:rsid w:val="00681DD9"/>
    <w:rsid w:val="00682252"/>
    <w:rsid w:val="00682F5C"/>
    <w:rsid w:val="00687555"/>
    <w:rsid w:val="00690E39"/>
    <w:rsid w:val="00691FF9"/>
    <w:rsid w:val="0069285F"/>
    <w:rsid w:val="0069752C"/>
    <w:rsid w:val="006A0DE5"/>
    <w:rsid w:val="006A0F5C"/>
    <w:rsid w:val="006A3677"/>
    <w:rsid w:val="006A5B27"/>
    <w:rsid w:val="006B1653"/>
    <w:rsid w:val="006B4E4E"/>
    <w:rsid w:val="006B5952"/>
    <w:rsid w:val="006B6C5F"/>
    <w:rsid w:val="006B7E39"/>
    <w:rsid w:val="006C2072"/>
    <w:rsid w:val="006C43E7"/>
    <w:rsid w:val="006C4820"/>
    <w:rsid w:val="006C5872"/>
    <w:rsid w:val="006C60E0"/>
    <w:rsid w:val="006C676D"/>
    <w:rsid w:val="006C69E2"/>
    <w:rsid w:val="006C7825"/>
    <w:rsid w:val="006D767A"/>
    <w:rsid w:val="006E2A45"/>
    <w:rsid w:val="006E37D4"/>
    <w:rsid w:val="006F3768"/>
    <w:rsid w:val="006F71DE"/>
    <w:rsid w:val="00704573"/>
    <w:rsid w:val="007072CC"/>
    <w:rsid w:val="0071254A"/>
    <w:rsid w:val="007131D2"/>
    <w:rsid w:val="00713917"/>
    <w:rsid w:val="00717AF8"/>
    <w:rsid w:val="00720F86"/>
    <w:rsid w:val="00722E77"/>
    <w:rsid w:val="007245F1"/>
    <w:rsid w:val="007247B8"/>
    <w:rsid w:val="0072731C"/>
    <w:rsid w:val="0073056C"/>
    <w:rsid w:val="00735B1F"/>
    <w:rsid w:val="00737502"/>
    <w:rsid w:val="00740B3A"/>
    <w:rsid w:val="00740C8B"/>
    <w:rsid w:val="00743263"/>
    <w:rsid w:val="007454B6"/>
    <w:rsid w:val="0074789B"/>
    <w:rsid w:val="00754ABD"/>
    <w:rsid w:val="00754D3B"/>
    <w:rsid w:val="00760D6A"/>
    <w:rsid w:val="0076343C"/>
    <w:rsid w:val="00764C12"/>
    <w:rsid w:val="007750DF"/>
    <w:rsid w:val="00777C19"/>
    <w:rsid w:val="00782487"/>
    <w:rsid w:val="00784C8D"/>
    <w:rsid w:val="00785E47"/>
    <w:rsid w:val="007873F5"/>
    <w:rsid w:val="0078760F"/>
    <w:rsid w:val="0079136A"/>
    <w:rsid w:val="00792AD8"/>
    <w:rsid w:val="00792D84"/>
    <w:rsid w:val="00795030"/>
    <w:rsid w:val="00795A26"/>
    <w:rsid w:val="007A00CB"/>
    <w:rsid w:val="007A312F"/>
    <w:rsid w:val="007A7EAB"/>
    <w:rsid w:val="007B5238"/>
    <w:rsid w:val="007C0AED"/>
    <w:rsid w:val="007C0BEE"/>
    <w:rsid w:val="007C42F3"/>
    <w:rsid w:val="007C4FA7"/>
    <w:rsid w:val="007C5531"/>
    <w:rsid w:val="007C63A0"/>
    <w:rsid w:val="007C6D52"/>
    <w:rsid w:val="007C6F91"/>
    <w:rsid w:val="007C72C0"/>
    <w:rsid w:val="007D034D"/>
    <w:rsid w:val="007D12ED"/>
    <w:rsid w:val="007D2F9C"/>
    <w:rsid w:val="007E1757"/>
    <w:rsid w:val="007E18CC"/>
    <w:rsid w:val="007E1E34"/>
    <w:rsid w:val="007F1998"/>
    <w:rsid w:val="007F2034"/>
    <w:rsid w:val="007F4683"/>
    <w:rsid w:val="007F55A4"/>
    <w:rsid w:val="007F7C5E"/>
    <w:rsid w:val="00800BF1"/>
    <w:rsid w:val="0080587F"/>
    <w:rsid w:val="00806B14"/>
    <w:rsid w:val="008114D4"/>
    <w:rsid w:val="0081234D"/>
    <w:rsid w:val="00812D2D"/>
    <w:rsid w:val="00817A64"/>
    <w:rsid w:val="008202F7"/>
    <w:rsid w:val="008247A4"/>
    <w:rsid w:val="00825D47"/>
    <w:rsid w:val="008272A6"/>
    <w:rsid w:val="0083258C"/>
    <w:rsid w:val="00833D6C"/>
    <w:rsid w:val="00841328"/>
    <w:rsid w:val="00841CCC"/>
    <w:rsid w:val="00844377"/>
    <w:rsid w:val="008443EF"/>
    <w:rsid w:val="00846F90"/>
    <w:rsid w:val="00852FB9"/>
    <w:rsid w:val="008536B7"/>
    <w:rsid w:val="00860F34"/>
    <w:rsid w:val="00862AC4"/>
    <w:rsid w:val="0086319B"/>
    <w:rsid w:val="008674A6"/>
    <w:rsid w:val="0087210F"/>
    <w:rsid w:val="0087564D"/>
    <w:rsid w:val="00876000"/>
    <w:rsid w:val="0089108B"/>
    <w:rsid w:val="00892EE6"/>
    <w:rsid w:val="008931B4"/>
    <w:rsid w:val="008973A2"/>
    <w:rsid w:val="008A0E76"/>
    <w:rsid w:val="008A42FE"/>
    <w:rsid w:val="008A4F23"/>
    <w:rsid w:val="008A713B"/>
    <w:rsid w:val="008B4FBE"/>
    <w:rsid w:val="008B6039"/>
    <w:rsid w:val="008C2555"/>
    <w:rsid w:val="008C29FB"/>
    <w:rsid w:val="008C5B87"/>
    <w:rsid w:val="008D0448"/>
    <w:rsid w:val="008D0677"/>
    <w:rsid w:val="008D0C9E"/>
    <w:rsid w:val="008D2F03"/>
    <w:rsid w:val="008D6762"/>
    <w:rsid w:val="008E30D8"/>
    <w:rsid w:val="008E447C"/>
    <w:rsid w:val="008E596E"/>
    <w:rsid w:val="008E6741"/>
    <w:rsid w:val="008F04C5"/>
    <w:rsid w:val="008F125D"/>
    <w:rsid w:val="00901E9C"/>
    <w:rsid w:val="00906F79"/>
    <w:rsid w:val="00907369"/>
    <w:rsid w:val="00910B12"/>
    <w:rsid w:val="00912404"/>
    <w:rsid w:val="00920B9A"/>
    <w:rsid w:val="009249C5"/>
    <w:rsid w:val="00925558"/>
    <w:rsid w:val="00925B25"/>
    <w:rsid w:val="009263C9"/>
    <w:rsid w:val="00930B2A"/>
    <w:rsid w:val="00936F03"/>
    <w:rsid w:val="0094018B"/>
    <w:rsid w:val="009418E3"/>
    <w:rsid w:val="00942EDA"/>
    <w:rsid w:val="009435BB"/>
    <w:rsid w:val="00943B02"/>
    <w:rsid w:val="00953429"/>
    <w:rsid w:val="009539A4"/>
    <w:rsid w:val="009569E3"/>
    <w:rsid w:val="00960035"/>
    <w:rsid w:val="0096040F"/>
    <w:rsid w:val="0096145A"/>
    <w:rsid w:val="009632EF"/>
    <w:rsid w:val="00973D8A"/>
    <w:rsid w:val="009804B4"/>
    <w:rsid w:val="00980709"/>
    <w:rsid w:val="0098278C"/>
    <w:rsid w:val="00991819"/>
    <w:rsid w:val="00992BBB"/>
    <w:rsid w:val="00996B34"/>
    <w:rsid w:val="009A0FC8"/>
    <w:rsid w:val="009A2372"/>
    <w:rsid w:val="009A42F1"/>
    <w:rsid w:val="009A5571"/>
    <w:rsid w:val="009A7878"/>
    <w:rsid w:val="009B0CDC"/>
    <w:rsid w:val="009B1729"/>
    <w:rsid w:val="009C01EF"/>
    <w:rsid w:val="009C050D"/>
    <w:rsid w:val="009C06D3"/>
    <w:rsid w:val="009C1312"/>
    <w:rsid w:val="009C6DFD"/>
    <w:rsid w:val="009C7060"/>
    <w:rsid w:val="009D399A"/>
    <w:rsid w:val="009D4A50"/>
    <w:rsid w:val="009D5FD0"/>
    <w:rsid w:val="009D66BC"/>
    <w:rsid w:val="009E53AF"/>
    <w:rsid w:val="009E6D4B"/>
    <w:rsid w:val="009E6DF5"/>
    <w:rsid w:val="009F02C5"/>
    <w:rsid w:val="009F076C"/>
    <w:rsid w:val="009F34CC"/>
    <w:rsid w:val="009F3C4D"/>
    <w:rsid w:val="009F479E"/>
    <w:rsid w:val="009F66D9"/>
    <w:rsid w:val="00A035A3"/>
    <w:rsid w:val="00A1128F"/>
    <w:rsid w:val="00A16440"/>
    <w:rsid w:val="00A169AC"/>
    <w:rsid w:val="00A2231D"/>
    <w:rsid w:val="00A2334F"/>
    <w:rsid w:val="00A250AA"/>
    <w:rsid w:val="00A277E6"/>
    <w:rsid w:val="00A30A8F"/>
    <w:rsid w:val="00A3174A"/>
    <w:rsid w:val="00A35A28"/>
    <w:rsid w:val="00A368EF"/>
    <w:rsid w:val="00A41505"/>
    <w:rsid w:val="00A4414C"/>
    <w:rsid w:val="00A47EF1"/>
    <w:rsid w:val="00A51D29"/>
    <w:rsid w:val="00A54D46"/>
    <w:rsid w:val="00A56998"/>
    <w:rsid w:val="00A56D51"/>
    <w:rsid w:val="00A60D18"/>
    <w:rsid w:val="00A61207"/>
    <w:rsid w:val="00A61700"/>
    <w:rsid w:val="00A6285C"/>
    <w:rsid w:val="00A663F3"/>
    <w:rsid w:val="00A669F1"/>
    <w:rsid w:val="00A67489"/>
    <w:rsid w:val="00A7268C"/>
    <w:rsid w:val="00A74365"/>
    <w:rsid w:val="00A745BF"/>
    <w:rsid w:val="00A74A79"/>
    <w:rsid w:val="00A74E46"/>
    <w:rsid w:val="00A81524"/>
    <w:rsid w:val="00A81D60"/>
    <w:rsid w:val="00A90163"/>
    <w:rsid w:val="00AA1AC0"/>
    <w:rsid w:val="00AA3B66"/>
    <w:rsid w:val="00AA5803"/>
    <w:rsid w:val="00AA584F"/>
    <w:rsid w:val="00AB2843"/>
    <w:rsid w:val="00AB3118"/>
    <w:rsid w:val="00AB6F32"/>
    <w:rsid w:val="00AC46C7"/>
    <w:rsid w:val="00AC5B71"/>
    <w:rsid w:val="00AC5F18"/>
    <w:rsid w:val="00AC6ED5"/>
    <w:rsid w:val="00AE00AE"/>
    <w:rsid w:val="00AE56E1"/>
    <w:rsid w:val="00AE6C9A"/>
    <w:rsid w:val="00AF2207"/>
    <w:rsid w:val="00AF2612"/>
    <w:rsid w:val="00AF2A61"/>
    <w:rsid w:val="00AF30D9"/>
    <w:rsid w:val="00AF63BF"/>
    <w:rsid w:val="00AF6B3B"/>
    <w:rsid w:val="00AF79DD"/>
    <w:rsid w:val="00AF7F2C"/>
    <w:rsid w:val="00AF7F46"/>
    <w:rsid w:val="00B0178C"/>
    <w:rsid w:val="00B019F0"/>
    <w:rsid w:val="00B02885"/>
    <w:rsid w:val="00B04EC7"/>
    <w:rsid w:val="00B06440"/>
    <w:rsid w:val="00B1231F"/>
    <w:rsid w:val="00B17927"/>
    <w:rsid w:val="00B2113E"/>
    <w:rsid w:val="00B2123B"/>
    <w:rsid w:val="00B2410E"/>
    <w:rsid w:val="00B2727D"/>
    <w:rsid w:val="00B301A2"/>
    <w:rsid w:val="00B31350"/>
    <w:rsid w:val="00B315A8"/>
    <w:rsid w:val="00B32C3E"/>
    <w:rsid w:val="00B41D37"/>
    <w:rsid w:val="00B45128"/>
    <w:rsid w:val="00B53DB3"/>
    <w:rsid w:val="00B66AF2"/>
    <w:rsid w:val="00B72848"/>
    <w:rsid w:val="00B74544"/>
    <w:rsid w:val="00B77754"/>
    <w:rsid w:val="00B81054"/>
    <w:rsid w:val="00B820DB"/>
    <w:rsid w:val="00B837F0"/>
    <w:rsid w:val="00B83896"/>
    <w:rsid w:val="00B860A9"/>
    <w:rsid w:val="00B97264"/>
    <w:rsid w:val="00BA0143"/>
    <w:rsid w:val="00BA227A"/>
    <w:rsid w:val="00BA4C69"/>
    <w:rsid w:val="00BA61AF"/>
    <w:rsid w:val="00BB1630"/>
    <w:rsid w:val="00BB6860"/>
    <w:rsid w:val="00BC3256"/>
    <w:rsid w:val="00BC3592"/>
    <w:rsid w:val="00BC36DF"/>
    <w:rsid w:val="00BC4B41"/>
    <w:rsid w:val="00BC66ED"/>
    <w:rsid w:val="00BD11D3"/>
    <w:rsid w:val="00BD2B47"/>
    <w:rsid w:val="00BD2CAA"/>
    <w:rsid w:val="00BD3B65"/>
    <w:rsid w:val="00BE1C5C"/>
    <w:rsid w:val="00BE3E67"/>
    <w:rsid w:val="00BE50E6"/>
    <w:rsid w:val="00BE61B2"/>
    <w:rsid w:val="00BE7CC3"/>
    <w:rsid w:val="00BF2B0D"/>
    <w:rsid w:val="00BF4E3B"/>
    <w:rsid w:val="00BF5454"/>
    <w:rsid w:val="00BF7EC9"/>
    <w:rsid w:val="00C00D8A"/>
    <w:rsid w:val="00C01C49"/>
    <w:rsid w:val="00C066E6"/>
    <w:rsid w:val="00C110C0"/>
    <w:rsid w:val="00C12370"/>
    <w:rsid w:val="00C15000"/>
    <w:rsid w:val="00C15897"/>
    <w:rsid w:val="00C1616B"/>
    <w:rsid w:val="00C16B21"/>
    <w:rsid w:val="00C16DFC"/>
    <w:rsid w:val="00C2079E"/>
    <w:rsid w:val="00C221CD"/>
    <w:rsid w:val="00C27729"/>
    <w:rsid w:val="00C312FA"/>
    <w:rsid w:val="00C332C4"/>
    <w:rsid w:val="00C334F5"/>
    <w:rsid w:val="00C35A03"/>
    <w:rsid w:val="00C36A05"/>
    <w:rsid w:val="00C40BA5"/>
    <w:rsid w:val="00C432D9"/>
    <w:rsid w:val="00C44166"/>
    <w:rsid w:val="00C45B5B"/>
    <w:rsid w:val="00C46F26"/>
    <w:rsid w:val="00C51687"/>
    <w:rsid w:val="00C5289C"/>
    <w:rsid w:val="00C56008"/>
    <w:rsid w:val="00C56CBC"/>
    <w:rsid w:val="00C617B0"/>
    <w:rsid w:val="00C62D2B"/>
    <w:rsid w:val="00C6344F"/>
    <w:rsid w:val="00C659E2"/>
    <w:rsid w:val="00C669AD"/>
    <w:rsid w:val="00C72510"/>
    <w:rsid w:val="00C731CA"/>
    <w:rsid w:val="00C77A6B"/>
    <w:rsid w:val="00C816E6"/>
    <w:rsid w:val="00C82587"/>
    <w:rsid w:val="00C84097"/>
    <w:rsid w:val="00C87FA4"/>
    <w:rsid w:val="00C9181A"/>
    <w:rsid w:val="00C94225"/>
    <w:rsid w:val="00C9487D"/>
    <w:rsid w:val="00C955CB"/>
    <w:rsid w:val="00C95664"/>
    <w:rsid w:val="00C96E53"/>
    <w:rsid w:val="00CA1597"/>
    <w:rsid w:val="00CA25CC"/>
    <w:rsid w:val="00CA2BA2"/>
    <w:rsid w:val="00CA3ACE"/>
    <w:rsid w:val="00CA5FFF"/>
    <w:rsid w:val="00CA7F86"/>
    <w:rsid w:val="00CB32EF"/>
    <w:rsid w:val="00CC1BDF"/>
    <w:rsid w:val="00CC21EC"/>
    <w:rsid w:val="00CC482B"/>
    <w:rsid w:val="00CD105E"/>
    <w:rsid w:val="00CD4AE6"/>
    <w:rsid w:val="00CD5211"/>
    <w:rsid w:val="00CD57F9"/>
    <w:rsid w:val="00CD5CD1"/>
    <w:rsid w:val="00CE0BB8"/>
    <w:rsid w:val="00CE54E0"/>
    <w:rsid w:val="00CE5835"/>
    <w:rsid w:val="00CE6FA1"/>
    <w:rsid w:val="00CF1938"/>
    <w:rsid w:val="00CF24CD"/>
    <w:rsid w:val="00D01F0A"/>
    <w:rsid w:val="00D13012"/>
    <w:rsid w:val="00D14159"/>
    <w:rsid w:val="00D14990"/>
    <w:rsid w:val="00D24268"/>
    <w:rsid w:val="00D25BE6"/>
    <w:rsid w:val="00D321DB"/>
    <w:rsid w:val="00D32460"/>
    <w:rsid w:val="00D32EBF"/>
    <w:rsid w:val="00D343B3"/>
    <w:rsid w:val="00D35073"/>
    <w:rsid w:val="00D36085"/>
    <w:rsid w:val="00D421D9"/>
    <w:rsid w:val="00D47529"/>
    <w:rsid w:val="00D47713"/>
    <w:rsid w:val="00D51103"/>
    <w:rsid w:val="00D53B1C"/>
    <w:rsid w:val="00D55A7A"/>
    <w:rsid w:val="00D568D5"/>
    <w:rsid w:val="00D56B6F"/>
    <w:rsid w:val="00D57878"/>
    <w:rsid w:val="00D60AB7"/>
    <w:rsid w:val="00D6226F"/>
    <w:rsid w:val="00D70E15"/>
    <w:rsid w:val="00D714E5"/>
    <w:rsid w:val="00D7546D"/>
    <w:rsid w:val="00D75C54"/>
    <w:rsid w:val="00D839C5"/>
    <w:rsid w:val="00D84043"/>
    <w:rsid w:val="00D91348"/>
    <w:rsid w:val="00D9566D"/>
    <w:rsid w:val="00DA0EF7"/>
    <w:rsid w:val="00DA4B3F"/>
    <w:rsid w:val="00DA4EB6"/>
    <w:rsid w:val="00DA5F0C"/>
    <w:rsid w:val="00DB20EB"/>
    <w:rsid w:val="00DB33F6"/>
    <w:rsid w:val="00DB38CC"/>
    <w:rsid w:val="00DC08B6"/>
    <w:rsid w:val="00DC277F"/>
    <w:rsid w:val="00DD0950"/>
    <w:rsid w:val="00DD0BFE"/>
    <w:rsid w:val="00DD29B1"/>
    <w:rsid w:val="00DD4AF9"/>
    <w:rsid w:val="00DD5DF4"/>
    <w:rsid w:val="00DD5EE9"/>
    <w:rsid w:val="00DD7497"/>
    <w:rsid w:val="00DD782F"/>
    <w:rsid w:val="00DE0414"/>
    <w:rsid w:val="00DE0982"/>
    <w:rsid w:val="00DE1D11"/>
    <w:rsid w:val="00DE28ED"/>
    <w:rsid w:val="00DE419E"/>
    <w:rsid w:val="00DE44C3"/>
    <w:rsid w:val="00DE4D5E"/>
    <w:rsid w:val="00DF139C"/>
    <w:rsid w:val="00DF7D53"/>
    <w:rsid w:val="00E12F22"/>
    <w:rsid w:val="00E165FC"/>
    <w:rsid w:val="00E168D7"/>
    <w:rsid w:val="00E23A47"/>
    <w:rsid w:val="00E23E0E"/>
    <w:rsid w:val="00E2482B"/>
    <w:rsid w:val="00E2592B"/>
    <w:rsid w:val="00E25D98"/>
    <w:rsid w:val="00E264F8"/>
    <w:rsid w:val="00E30C52"/>
    <w:rsid w:val="00E33666"/>
    <w:rsid w:val="00E3771A"/>
    <w:rsid w:val="00E40B45"/>
    <w:rsid w:val="00E41637"/>
    <w:rsid w:val="00E50C30"/>
    <w:rsid w:val="00E51410"/>
    <w:rsid w:val="00E515E7"/>
    <w:rsid w:val="00E5580D"/>
    <w:rsid w:val="00E56402"/>
    <w:rsid w:val="00E56CB5"/>
    <w:rsid w:val="00E61828"/>
    <w:rsid w:val="00E65E56"/>
    <w:rsid w:val="00E664D0"/>
    <w:rsid w:val="00E66F94"/>
    <w:rsid w:val="00E670E5"/>
    <w:rsid w:val="00E6767D"/>
    <w:rsid w:val="00E717C1"/>
    <w:rsid w:val="00E71E63"/>
    <w:rsid w:val="00E76D4C"/>
    <w:rsid w:val="00E81786"/>
    <w:rsid w:val="00E85DE5"/>
    <w:rsid w:val="00E90EC0"/>
    <w:rsid w:val="00E944C1"/>
    <w:rsid w:val="00E97D8B"/>
    <w:rsid w:val="00EA5878"/>
    <w:rsid w:val="00EA7F55"/>
    <w:rsid w:val="00EB1CE6"/>
    <w:rsid w:val="00EB1F19"/>
    <w:rsid w:val="00EB7375"/>
    <w:rsid w:val="00EC06EA"/>
    <w:rsid w:val="00EC2660"/>
    <w:rsid w:val="00EC3057"/>
    <w:rsid w:val="00EC47C5"/>
    <w:rsid w:val="00ED087B"/>
    <w:rsid w:val="00ED5626"/>
    <w:rsid w:val="00ED5EB9"/>
    <w:rsid w:val="00ED6BFE"/>
    <w:rsid w:val="00ED7FE5"/>
    <w:rsid w:val="00EE0176"/>
    <w:rsid w:val="00EE17BD"/>
    <w:rsid w:val="00EE27D8"/>
    <w:rsid w:val="00EE32BD"/>
    <w:rsid w:val="00EE5542"/>
    <w:rsid w:val="00EE6872"/>
    <w:rsid w:val="00EF0191"/>
    <w:rsid w:val="00EF09CC"/>
    <w:rsid w:val="00EF0F91"/>
    <w:rsid w:val="00F00A14"/>
    <w:rsid w:val="00F0685D"/>
    <w:rsid w:val="00F06A5D"/>
    <w:rsid w:val="00F0700E"/>
    <w:rsid w:val="00F14A61"/>
    <w:rsid w:val="00F17B58"/>
    <w:rsid w:val="00F24B23"/>
    <w:rsid w:val="00F25A3F"/>
    <w:rsid w:val="00F27353"/>
    <w:rsid w:val="00F31B7D"/>
    <w:rsid w:val="00F32A17"/>
    <w:rsid w:val="00F349CE"/>
    <w:rsid w:val="00F34BAA"/>
    <w:rsid w:val="00F35345"/>
    <w:rsid w:val="00F355CA"/>
    <w:rsid w:val="00F355FB"/>
    <w:rsid w:val="00F40C6B"/>
    <w:rsid w:val="00F41113"/>
    <w:rsid w:val="00F44385"/>
    <w:rsid w:val="00F45C61"/>
    <w:rsid w:val="00F51138"/>
    <w:rsid w:val="00F5306F"/>
    <w:rsid w:val="00F532A6"/>
    <w:rsid w:val="00F569D6"/>
    <w:rsid w:val="00F57FCC"/>
    <w:rsid w:val="00F61907"/>
    <w:rsid w:val="00F61AB2"/>
    <w:rsid w:val="00F65464"/>
    <w:rsid w:val="00F70E1C"/>
    <w:rsid w:val="00F72FCE"/>
    <w:rsid w:val="00F734F9"/>
    <w:rsid w:val="00F73A1C"/>
    <w:rsid w:val="00F73F90"/>
    <w:rsid w:val="00F74D13"/>
    <w:rsid w:val="00F80FBD"/>
    <w:rsid w:val="00F849FF"/>
    <w:rsid w:val="00F86F58"/>
    <w:rsid w:val="00F936BB"/>
    <w:rsid w:val="00F93BAD"/>
    <w:rsid w:val="00F941DD"/>
    <w:rsid w:val="00F95311"/>
    <w:rsid w:val="00F95F8F"/>
    <w:rsid w:val="00FA0A18"/>
    <w:rsid w:val="00FA1BBD"/>
    <w:rsid w:val="00FA70EC"/>
    <w:rsid w:val="00FC1707"/>
    <w:rsid w:val="00FC1C82"/>
    <w:rsid w:val="00FC1D2F"/>
    <w:rsid w:val="00FC45AC"/>
    <w:rsid w:val="00FC4CFF"/>
    <w:rsid w:val="00FC5DE9"/>
    <w:rsid w:val="00FD0415"/>
    <w:rsid w:val="00FD44E2"/>
    <w:rsid w:val="00FD48FA"/>
    <w:rsid w:val="00FD73C3"/>
    <w:rsid w:val="00FE2FD3"/>
    <w:rsid w:val="00FE5699"/>
    <w:rsid w:val="00FE57BD"/>
    <w:rsid w:val="00FE6DE0"/>
    <w:rsid w:val="00FF06B2"/>
    <w:rsid w:val="00FF2542"/>
    <w:rsid w:val="00FF29EF"/>
    <w:rsid w:val="00FF3D23"/>
    <w:rsid w:val="00FF530C"/>
    <w:rsid w:val="00FF7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18500"/>
  <w15:chartTrackingRefBased/>
  <w15:docId w15:val="{A36A6BDD-F72A-4569-AD3D-3DF8B678D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4" w:qFormat="1"/>
    <w:lsdException w:name="heading 1" w:uiPriority="0"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Card"/>
    <w:uiPriority w:val="4"/>
    <w:qFormat/>
    <w:rsid w:val="00942EDA"/>
    <w:pPr>
      <w:spacing w:line="256" w:lineRule="auto"/>
    </w:pPr>
    <w:rPr>
      <w:rFonts w:ascii="Calibri" w:hAnsi="Calibri"/>
    </w:rPr>
  </w:style>
  <w:style w:type="paragraph" w:styleId="Heading1">
    <w:name w:val="heading 1"/>
    <w:aliases w:val="Pocket"/>
    <w:basedOn w:val="Normal"/>
    <w:next w:val="Normal"/>
    <w:link w:val="Heading1Char"/>
    <w:qFormat/>
    <w:rsid w:val="00942EDA"/>
    <w:pPr>
      <w:keepNext/>
      <w:keepLines/>
      <w:pageBreakBefore/>
      <w:pBdr>
        <w:top w:val="single" w:sz="24" w:space="1" w:color="auto"/>
        <w:left w:val="single" w:sz="24" w:space="4" w:color="auto"/>
        <w:bottom w:val="single" w:sz="24" w:space="1" w:color="auto"/>
        <w:right w:val="single" w:sz="24" w:space="4" w:color="auto"/>
      </w:pBdr>
      <w:spacing w:before="240" w:after="0"/>
      <w:jc w:val="center"/>
      <w:outlineLvl w:val="0"/>
    </w:pPr>
    <w:rPr>
      <w:rFonts w:eastAsiaTheme="majorEastAsia" w:cstheme="majorBidi"/>
      <w:b/>
      <w:sz w:val="52"/>
      <w:szCs w:val="32"/>
    </w:rPr>
  </w:style>
  <w:style w:type="paragraph" w:styleId="Heading2">
    <w:name w:val="heading 2"/>
    <w:aliases w:val="Hat"/>
    <w:basedOn w:val="Normal"/>
    <w:next w:val="Normal"/>
    <w:link w:val="Heading2Char"/>
    <w:uiPriority w:val="1"/>
    <w:qFormat/>
    <w:rsid w:val="00942EDA"/>
    <w:pPr>
      <w:keepNext/>
      <w:keepLines/>
      <w:pageBreakBefore/>
      <w:spacing w:before="40" w:after="0"/>
      <w:jc w:val="center"/>
      <w:outlineLvl w:val="1"/>
    </w:pPr>
    <w:rPr>
      <w:rFonts w:eastAsiaTheme="majorEastAsia" w:cstheme="majorBidi"/>
      <w:b/>
      <w:sz w:val="44"/>
      <w:szCs w:val="26"/>
      <w:u w:val="double"/>
    </w:rPr>
  </w:style>
  <w:style w:type="paragraph" w:styleId="Heading3">
    <w:name w:val="heading 3"/>
    <w:aliases w:val="Block"/>
    <w:basedOn w:val="Normal"/>
    <w:next w:val="Normal"/>
    <w:link w:val="Heading3Char"/>
    <w:uiPriority w:val="2"/>
    <w:qFormat/>
    <w:rsid w:val="00942EDA"/>
    <w:pPr>
      <w:keepNext/>
      <w:keepLines/>
      <w:pageBreakBefore/>
      <w:spacing w:before="40" w:after="0"/>
      <w:jc w:val="center"/>
      <w:outlineLvl w:val="2"/>
    </w:pPr>
    <w:rPr>
      <w:rFonts w:eastAsiaTheme="majorEastAsia" w:cstheme="majorBidi"/>
      <w:b/>
      <w:sz w:val="32"/>
      <w:szCs w:val="24"/>
      <w:u w:val="single"/>
    </w:rPr>
  </w:style>
  <w:style w:type="paragraph" w:styleId="Heading4">
    <w:name w:val="heading 4"/>
    <w:aliases w:val="Tag"/>
    <w:basedOn w:val="Normal"/>
    <w:next w:val="Normal"/>
    <w:link w:val="Heading4Char"/>
    <w:uiPriority w:val="3"/>
    <w:qFormat/>
    <w:rsid w:val="00942EDA"/>
    <w:pPr>
      <w:keepNext/>
      <w:keepLines/>
      <w:spacing w:before="40" w:after="0"/>
      <w:outlineLvl w:val="3"/>
    </w:pPr>
    <w:rPr>
      <w:rFonts w:eastAsiaTheme="majorEastAsia" w:cstheme="majorBidi"/>
      <w:b/>
      <w:iCs/>
      <w:sz w:val="26"/>
    </w:rPr>
  </w:style>
  <w:style w:type="paragraph" w:styleId="Heading5">
    <w:name w:val="heading 5"/>
    <w:basedOn w:val="Normal"/>
    <w:next w:val="Normal"/>
    <w:link w:val="Heading5Char"/>
    <w:uiPriority w:val="9"/>
    <w:semiHidden/>
    <w:unhideWhenUsed/>
    <w:rsid w:val="00942ED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rsid w:val="00942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EDA"/>
  </w:style>
  <w:style w:type="character" w:styleId="Emphasis">
    <w:name w:val="Emphasis"/>
    <w:aliases w:val="Evidence,Minimized,minimized,Highlighted,tag2,Size 10,emphasis in card,CD Card,ED - Tag,emphasis,Underlined"/>
    <w:basedOn w:val="DefaultParagraphFont"/>
    <w:uiPriority w:val="20"/>
    <w:qFormat/>
    <w:rsid w:val="00942EDA"/>
    <w:rPr>
      <w:rFonts w:ascii="Calibri" w:hAnsi="Calibri" w:cs="Calibri"/>
      <w:b/>
      <w:i w:val="0"/>
      <w:iCs/>
      <w:sz w:val="22"/>
      <w:u w:val="single"/>
      <w:bdr w:val="none" w:sz="0" w:space="0" w:color="auto"/>
    </w:rPr>
  </w:style>
  <w:style w:type="character" w:styleId="FollowedHyperlink">
    <w:name w:val="FollowedHyperlink"/>
    <w:basedOn w:val="DefaultParagraphFont"/>
    <w:uiPriority w:val="99"/>
    <w:semiHidden/>
    <w:unhideWhenUsed/>
    <w:rsid w:val="00942EDA"/>
    <w:rPr>
      <w:color w:val="auto"/>
      <w:u w:val="none"/>
    </w:rPr>
  </w:style>
  <w:style w:type="character" w:customStyle="1" w:styleId="Heading1Char">
    <w:name w:val="Heading 1 Char"/>
    <w:aliases w:val="Pocket Char"/>
    <w:basedOn w:val="DefaultParagraphFont"/>
    <w:link w:val="Heading1"/>
    <w:rsid w:val="00942EDA"/>
    <w:rPr>
      <w:rFonts w:ascii="Calibri" w:eastAsiaTheme="majorEastAsia" w:hAnsi="Calibri" w:cstheme="majorBidi"/>
      <w:b/>
      <w:sz w:val="52"/>
      <w:szCs w:val="32"/>
    </w:rPr>
  </w:style>
  <w:style w:type="character" w:customStyle="1" w:styleId="Heading2Char">
    <w:name w:val="Heading 2 Char"/>
    <w:aliases w:val="Hat Char"/>
    <w:basedOn w:val="DefaultParagraphFont"/>
    <w:link w:val="Heading2"/>
    <w:uiPriority w:val="1"/>
    <w:rsid w:val="00942EDA"/>
    <w:rPr>
      <w:rFonts w:ascii="Calibri" w:eastAsiaTheme="majorEastAsia" w:hAnsi="Calibri" w:cstheme="majorBidi"/>
      <w:b/>
      <w:sz w:val="44"/>
      <w:szCs w:val="26"/>
      <w:u w:val="double"/>
    </w:rPr>
  </w:style>
  <w:style w:type="character" w:customStyle="1" w:styleId="Heading3Char">
    <w:name w:val="Heading 3 Char"/>
    <w:aliases w:val="Block Char"/>
    <w:basedOn w:val="DefaultParagraphFont"/>
    <w:link w:val="Heading3"/>
    <w:uiPriority w:val="2"/>
    <w:rsid w:val="00942EDA"/>
    <w:rPr>
      <w:rFonts w:ascii="Calibri" w:eastAsiaTheme="majorEastAsia" w:hAnsi="Calibri" w:cstheme="majorBidi"/>
      <w:b/>
      <w:sz w:val="32"/>
      <w:szCs w:val="24"/>
      <w:u w:val="single"/>
    </w:rPr>
  </w:style>
  <w:style w:type="character" w:customStyle="1" w:styleId="Heading4Char">
    <w:name w:val="Heading 4 Char"/>
    <w:aliases w:val="Tag Char"/>
    <w:basedOn w:val="DefaultParagraphFont"/>
    <w:link w:val="Heading4"/>
    <w:uiPriority w:val="3"/>
    <w:rsid w:val="00942EDA"/>
    <w:rPr>
      <w:rFonts w:ascii="Calibri" w:eastAsiaTheme="majorEastAsia" w:hAnsi="Calibri" w:cstheme="majorBidi"/>
      <w:b/>
      <w:iCs/>
      <w:sz w:val="26"/>
    </w:rPr>
  </w:style>
  <w:style w:type="character" w:customStyle="1" w:styleId="Style13ptBold">
    <w:name w:val="Style 13 pt Bold"/>
    <w:aliases w:val="Cite,Style Style Bold + 12 pt,Style Style Bold,Style Style Bold + 12pt,Style Style + 12 pt,Style Style Bo... +,Old Cite,Style Style Bold + 10 pt,tagld + 12 pt,Style Style Bold + 13 pt,Style Style Bold + 11 pt,tag + 12 pt,Not...,Not.,Not"/>
    <w:basedOn w:val="DefaultParagraphFont"/>
    <w:uiPriority w:val="5"/>
    <w:qFormat/>
    <w:rsid w:val="00942EDA"/>
    <w:rPr>
      <w:b/>
      <w:bCs/>
      <w:sz w:val="26"/>
      <w:u w:val="none"/>
    </w:rPr>
  </w:style>
  <w:style w:type="character" w:customStyle="1" w:styleId="StyleUnderline">
    <w:name w:val="Style Underline"/>
    <w:aliases w:val="Underline,Style Bold Underline,Intense Emphasis1,apple-style-span + 6 pt,Bold,Kern at 16 pt,Style,Intense Emphasis11,Intense Emphasis2,HHeading 3 + 12 pt,Cards + Font: 12 pt Char,cites Char Char,Citation Char Char Char,Bold Cite Char,ci"/>
    <w:basedOn w:val="DefaultParagraphFont"/>
    <w:uiPriority w:val="6"/>
    <w:qFormat/>
    <w:rsid w:val="00942EDA"/>
    <w:rPr>
      <w:b w:val="0"/>
      <w:sz w:val="22"/>
      <w:u w:val="single"/>
    </w:rPr>
  </w:style>
  <w:style w:type="character" w:styleId="Strong">
    <w:name w:val="Strong"/>
    <w:basedOn w:val="DefaultParagraphFont"/>
    <w:uiPriority w:val="22"/>
    <w:semiHidden/>
    <w:qFormat/>
    <w:rsid w:val="00942EDA"/>
    <w:rPr>
      <w:b/>
      <w:bCs/>
    </w:rPr>
  </w:style>
  <w:style w:type="character" w:styleId="BookTitle">
    <w:name w:val="Book Title"/>
    <w:basedOn w:val="DefaultParagraphFont"/>
    <w:uiPriority w:val="33"/>
    <w:semiHidden/>
    <w:qFormat/>
    <w:rsid w:val="00942EDA"/>
    <w:rPr>
      <w:b/>
      <w:bCs/>
      <w:i/>
      <w:iCs/>
      <w:spacing w:val="5"/>
    </w:rPr>
  </w:style>
  <w:style w:type="character" w:customStyle="1" w:styleId="Heading5Char">
    <w:name w:val="Heading 5 Char"/>
    <w:basedOn w:val="DefaultParagraphFont"/>
    <w:link w:val="Heading5"/>
    <w:uiPriority w:val="9"/>
    <w:semiHidden/>
    <w:rsid w:val="00942EDA"/>
    <w:rPr>
      <w:rFonts w:asciiTheme="majorHAnsi" w:eastAsiaTheme="majorEastAsia" w:hAnsiTheme="majorHAnsi" w:cstheme="majorBidi"/>
      <w:color w:val="2F5496" w:themeColor="accent1" w:themeShade="BF"/>
    </w:rPr>
  </w:style>
  <w:style w:type="numbering" w:styleId="111111">
    <w:name w:val="Outline List 2"/>
    <w:basedOn w:val="NoList"/>
    <w:uiPriority w:val="99"/>
    <w:semiHidden/>
    <w:unhideWhenUsed/>
    <w:rsid w:val="00942EDA"/>
  </w:style>
  <w:style w:type="paragraph" w:styleId="Header">
    <w:name w:val="header"/>
    <w:basedOn w:val="Normal"/>
    <w:link w:val="HeaderChar"/>
    <w:uiPriority w:val="99"/>
    <w:semiHidden/>
    <w:rsid w:val="00942ED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42EDA"/>
    <w:rPr>
      <w:rFonts w:ascii="Calibri" w:hAnsi="Calibri" w:cs="Calibri"/>
    </w:rPr>
  </w:style>
  <w:style w:type="paragraph" w:styleId="Footer">
    <w:name w:val="footer"/>
    <w:basedOn w:val="Normal"/>
    <w:link w:val="FooterChar"/>
    <w:uiPriority w:val="99"/>
    <w:semiHidden/>
    <w:rsid w:val="00942E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42EDA"/>
    <w:rPr>
      <w:rFonts w:ascii="Calibri" w:hAnsi="Calibri" w:cs="Calibri"/>
    </w:rPr>
  </w:style>
  <w:style w:type="paragraph" w:styleId="BodyText">
    <w:name w:val="Body Text"/>
    <w:basedOn w:val="Normal"/>
    <w:link w:val="BodyTextChar"/>
    <w:uiPriority w:val="99"/>
    <w:semiHidden/>
    <w:unhideWhenUsed/>
    <w:rsid w:val="00942EDA"/>
    <w:pPr>
      <w:spacing w:after="120"/>
    </w:pPr>
  </w:style>
  <w:style w:type="character" w:customStyle="1" w:styleId="BodyTextChar">
    <w:name w:val="Body Text Char"/>
    <w:basedOn w:val="DefaultParagraphFont"/>
    <w:link w:val="BodyText"/>
    <w:uiPriority w:val="99"/>
    <w:semiHidden/>
    <w:rsid w:val="00942EDA"/>
    <w:rPr>
      <w:rFonts w:ascii="Calibri" w:hAnsi="Calibri" w:cs="Calibri"/>
    </w:rPr>
  </w:style>
  <w:style w:type="paragraph" w:styleId="NoSpacing">
    <w:name w:val="No Spacing"/>
    <w:link w:val="NoSpacingChar"/>
    <w:uiPriority w:val="99"/>
    <w:semiHidden/>
    <w:unhideWhenUsed/>
    <w:qFormat/>
    <w:rsid w:val="00942EDA"/>
    <w:pPr>
      <w:spacing w:after="0" w:line="240" w:lineRule="auto"/>
    </w:pPr>
    <w:rPr>
      <w:rFonts w:ascii="Calibri" w:hAnsi="Calibri" w:cs="Calibri"/>
    </w:rPr>
  </w:style>
  <w:style w:type="character" w:customStyle="1" w:styleId="NoSpacingChar">
    <w:name w:val="No Spacing Char"/>
    <w:basedOn w:val="DefaultParagraphFont"/>
    <w:link w:val="NoSpacing"/>
    <w:uiPriority w:val="99"/>
    <w:semiHidden/>
    <w:rsid w:val="00942EDA"/>
    <w:rPr>
      <w:rFonts w:ascii="Calibri" w:hAnsi="Calibri" w:cs="Calibri"/>
    </w:rPr>
  </w:style>
  <w:style w:type="character" w:styleId="Hyperlink">
    <w:name w:val="Hyperlink"/>
    <w:basedOn w:val="DefaultParagraphFont"/>
    <w:uiPriority w:val="99"/>
    <w:unhideWhenUsed/>
    <w:rsid w:val="00942EDA"/>
    <w:rPr>
      <w:color w:val="0563C1" w:themeColor="hyperlink"/>
      <w:u w:val="single"/>
    </w:rPr>
  </w:style>
  <w:style w:type="character" w:styleId="UnresolvedMention">
    <w:name w:val="Unresolved Mention"/>
    <w:basedOn w:val="DefaultParagraphFont"/>
    <w:uiPriority w:val="99"/>
    <w:semiHidden/>
    <w:unhideWhenUsed/>
    <w:rsid w:val="00942EDA"/>
    <w:rPr>
      <w:color w:val="605E5C"/>
      <w:shd w:val="clear" w:color="auto" w:fill="E1DFDD"/>
    </w:rPr>
  </w:style>
  <w:style w:type="paragraph" w:styleId="ListParagraph">
    <w:name w:val="List Paragraph"/>
    <w:basedOn w:val="Normal"/>
    <w:uiPriority w:val="99"/>
    <w:qFormat/>
    <w:rsid w:val="00942EDA"/>
    <w:pPr>
      <w:spacing w:line="278" w:lineRule="auto"/>
      <w:ind w:left="720"/>
      <w:contextualSpacing/>
    </w:pPr>
    <w:rPr>
      <w:rFonts w:asciiTheme="minorHAnsi" w:hAnsiTheme="minorHAns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97115">
      <w:bodyDiv w:val="1"/>
      <w:marLeft w:val="0"/>
      <w:marRight w:val="0"/>
      <w:marTop w:val="0"/>
      <w:marBottom w:val="0"/>
      <w:divBdr>
        <w:top w:val="none" w:sz="0" w:space="0" w:color="auto"/>
        <w:left w:val="none" w:sz="0" w:space="0" w:color="auto"/>
        <w:bottom w:val="none" w:sz="0" w:space="0" w:color="auto"/>
        <w:right w:val="none" w:sz="0" w:space="0" w:color="auto"/>
      </w:divBdr>
      <w:divsChild>
        <w:div w:id="8063577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orddictionaries.com/definition/english/increase" TargetMode="External"/><Relationship Id="rId13" Type="http://schemas.openxmlformats.org/officeDocument/2006/relationships/hyperlink" Target="http://www.lexis.com/research/retrieve?y=&amp;dom1=&amp;dom2=&amp;dom3=&amp;dom4=&amp;dom5=&amp;crnPrh=&amp;crnSah=&amp;crnSch=&amp;crnLgh=&amp;crnSumm=&amp;crnCt=&amp;cc=&amp;crnCh=&amp;crnGc=&amp;shepSummary=&amp;crnFmt=&amp;shepStateKey=&amp;pushme=1&amp;tmpFBSel=all&amp;totaldocs=&amp;taggedDocs=&amp;toggleValue=&amp;numDocsChked=0&amp;prefFBSel=0&amp;delformat=XCITE&amp;fpDocs=&amp;fpNodeId=&amp;fpCiteReq=&amp;fpSetup=0&amp;brand=&amp;_m=bef2ae73d8968e2a7ac2c41f4058a2c3&amp;docnum=3&amp;_fmtstr=FULL&amp;_startdoc=1&amp;wchp=dGLzVtb-zSkAb&amp;_md5=78aa7022ae9dd715e1437a81c40167d8&amp;focBudTerms=canon+and+competing+interpretation+w%2F100+text%21&amp;focBudSel=al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xis.com/research/retrieve?y=&amp;dom1=&amp;dom2=&amp;dom3=&amp;dom4=&amp;dom5=&amp;crnPrh=&amp;crnSah=&amp;crnSch=&amp;crnLgh=&amp;crnSumm=&amp;crnCt=&amp;cc=&amp;crnCh=&amp;crnGc=&amp;shepSummary=&amp;crnFmt=&amp;shepStateKey=&amp;pushme=1&amp;tmpFBSel=all&amp;totaldocs=&amp;taggedDocs=&amp;toggleValue=&amp;numDocsChked=0&amp;prefFBSel=0&amp;delformat=XCITE&amp;fpDocs=&amp;fpNodeId=&amp;fpCiteReq=&amp;fpSetup=0&amp;brand=&amp;_m=bef2ae73d8968e2a7ac2c41f4058a2c3&amp;docnum=3&amp;_fmtstr=FULL&amp;_startdoc=1&amp;wchp=dGLzVtb-zSkAb&amp;_md5=78aa7022ae9dd715e1437a81c40167d8&amp;focBudTerms=canon+and+competing+interpretation+w%2F100+text%21&amp;focBudSel=al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xis.com/research/retrieve?y=&amp;dom1=&amp;dom2=&amp;dom3=&amp;dom4=&amp;dom5=&amp;crnPrh=&amp;crnSah=&amp;crnSch=&amp;crnLgh=&amp;crnSumm=&amp;crnCt=&amp;cc=&amp;crnCh=&amp;crnGc=&amp;shepSummary=&amp;crnFmt=&amp;shepStateKey=&amp;pushme=1&amp;tmpFBSel=all&amp;totaldocs=&amp;taggedDocs=&amp;toggleValue=&amp;numDocsChked=0&amp;prefFBSel=0&amp;delformat=XCITE&amp;fpDocs=&amp;fpNodeId=&amp;fpCiteReq=&amp;fpSetup=0&amp;brand=&amp;_m=bef2ae73d8968e2a7ac2c41f4058a2c3&amp;docnum=3&amp;_fmtstr=FULL&amp;_startdoc=1&amp;wchp=dGLzVtb-zSkAb&amp;_md5=78aa7022ae9dd715e1437a81c40167d8&amp;focBudTerms=canon+and+competing+interpretation+w%2F100+text%21&amp;focBudSel=al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exis.com/research/retrieve?y=&amp;dom1=&amp;dom2=&amp;dom3=&amp;dom4=&amp;dom5=&amp;crnPrh=&amp;crnSah=&amp;crnSch=&amp;crnLgh=&amp;crnSumm=&amp;crnCt=&amp;cc=&amp;crnCh=&amp;crnGc=&amp;shepSummary=&amp;crnFmt=&amp;shepStateKey=&amp;pushme=1&amp;tmpFBSel=all&amp;totaldocs=&amp;taggedDocs=&amp;toggleValue=&amp;numDocsChked=0&amp;prefFBSel=0&amp;delformat=XCITE&amp;fpDocs=&amp;fpNodeId=&amp;fpCiteReq=&amp;fpSetup=0&amp;brand=&amp;_m=bef2ae73d8968e2a7ac2c41f4058a2c3&amp;docnum=3&amp;_fmtstr=FULL&amp;_startdoc=1&amp;wchp=dGLzVtb-zSkAb&amp;_md5=78aa7022ae9dd715e1437a81c40167d8&amp;focBudTerms=canon+and+competing+interpretation+w%2F100+text%21&amp;focBudSel=all" TargetMode="External"/><Relationship Id="rId4" Type="http://schemas.openxmlformats.org/officeDocument/2006/relationships/settings" Target="settings.xml"/><Relationship Id="rId9" Type="http://schemas.openxmlformats.org/officeDocument/2006/relationships/hyperlink" Target="https://news.virginia.edu/content/study-finds-students-benefit-depth-rather-breadth-high-school-science-courses" TargetMode="External"/><Relationship Id="rId14" Type="http://schemas.openxmlformats.org/officeDocument/2006/relationships/hyperlink" Target="http://www.lexis.com/research/retrieve?y=&amp;dom1=&amp;dom2=&amp;dom3=&amp;dom4=&amp;dom5=&amp;crnPrh=&amp;crnSah=&amp;crnSch=&amp;crnLgh=&amp;crnSumm=&amp;crnCt=&amp;cc=&amp;crnCh=&amp;crnGc=&amp;shepSummary=&amp;crnFmt=&amp;shepStateKey=&amp;pushme=1&amp;tmpFBSel=all&amp;totaldocs=&amp;taggedDocs=&amp;toggleValue=&amp;numDocsChked=0&amp;prefFBSel=0&amp;delformat=XCITE&amp;fpDocs=&amp;fpNodeId=&amp;fpCiteReq=&amp;fpSetup=0&amp;brand=&amp;_m=bef2ae73d8968e2a7ac2c41f4058a2c3&amp;docnum=3&amp;_fmtstr=FULL&amp;_startdoc=1&amp;wchp=dGLzVtb-zSkAb&amp;_md5=78aa7022ae9dd715e1437a81c40167d8&amp;focBudTerms=canon+and+competing+interpretation+w%2F100+text%21&amp;focBudSel=a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vin%20Ozomaro\AppData\Roaming\Microsoft\Templates\Deb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15F7F-F7AC-494E-B0DE-68E5D8E27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Debate</Template>
  <TotalTime>11</TotalTime>
  <Pages>1</Pages>
  <Words>1998</Words>
  <Characters>10691</Characters>
  <Application>Microsoft Office Word</Application>
  <DocSecurity>0</DocSecurity>
  <Lines>133</Lines>
  <Paragraphs>45</Paragraphs>
  <ScaleCrop>false</ScaleCrop>
  <HeadingPairs>
    <vt:vector size="2" baseType="variant">
      <vt:variant>
        <vt:lpstr>Title</vt:lpstr>
      </vt:variant>
      <vt:variant>
        <vt:i4>1</vt:i4>
      </vt:variant>
    </vt:vector>
  </HeadingPairs>
  <TitlesOfParts>
    <vt:vector size="1" baseType="lpstr">
      <vt:lpstr>Verbatim</vt:lpstr>
    </vt:vector>
  </TitlesOfParts>
  <Company/>
  <LinksUpToDate>false</LinksUpToDate>
  <CharactersWithSpaces>12644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Verbatim</dc:title>
  <dc:subject/>
  <dc:creator>Kevin Ozomaro</dc:creator>
  <cp:keywords>6.0.0</cp:keywords>
  <dc:description/>
  <cp:lastModifiedBy>Kevin Ozomaro</cp:lastModifiedBy>
  <cp:revision>2</cp:revision>
  <dcterms:created xsi:type="dcterms:W3CDTF">2026-08-10T23:10:00Z</dcterms:created>
  <dcterms:modified xsi:type="dcterms:W3CDTF">2026-08-10T23:21:00Z</dcterms:modified>
</cp:coreProperties>
</file>