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NEG 3 — Innovation and State Capture Disadvantages</w:t>
      </w:r>
    </w:p>
    <w:p>
      <w:pPr>
        <w:spacing w:after="240"/>
        <w:pBdr>
          <w:bottom w:val="single" w:sz="8" w:space="8" w:color="2E74B5"/>
        </w:pBdr>
      </w:pPr>
      <w:r>
        <w:rPr>
          <w:rFonts w:ascii="Calibri" w:hAnsi="Calibri"/>
          <w:i/>
          <w:color w:val="656D78"/>
          <w:sz w:val="24"/>
        </w:rPr>
        <w:t>R&amp;D incentives | Political allocation | Soft budget constraints | Internal capture</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Strategic thesis: </w:t>
      </w:r>
      <w:r>
        <w:rPr>
          <w:rFonts w:ascii="Calibri" w:hAnsi="Calibri"/>
          <w:color w:val="181D23"/>
          <w:sz w:val="22"/>
        </w:rPr>
        <w:t>Changing the owner does not eliminate incentives or capture; it relocates them. Public firms can improve mission alignment, but weak external benchmarks, political allocation, and soft budget constraints may protect failed projects or reduce risky innovation.</w:t>
      </w:r>
    </w:p>
    <w:p>
      <w:pPr>
        <w:pStyle w:val="Heading1"/>
      </w:pPr>
      <w:r>
        <w:t>Argument outlines</w:t>
      </w:r>
    </w:p>
    <w:p>
      <w:pPr>
        <w:pStyle w:val="Heading2"/>
      </w:pPr>
      <w:r>
        <w:t>Innovation DA</w:t>
      </w:r>
    </w:p>
    <w:p>
      <w:pPr>
        <w:pStyle w:val="ListBullet"/>
        <w:spacing w:after="80" w:line="300" w:lineRule="auto"/>
        <w:ind w:left="540" w:hanging="271"/>
      </w:pPr>
      <w:r>
        <w:rPr>
          <w:rFonts w:ascii="Calibri" w:hAnsi="Calibri"/>
          <w:color w:val="181D23"/>
          <w:sz w:val="22"/>
        </w:rPr>
        <w:t>Link: broad ownership weakens residual rewards and political budgeting favors visible, low-risk projects.</w:t>
      </w:r>
    </w:p>
    <w:p>
      <w:pPr>
        <w:pStyle w:val="ListBullet"/>
        <w:spacing w:after="80" w:line="300" w:lineRule="auto"/>
        <w:ind w:left="540" w:hanging="271"/>
      </w:pPr>
      <w:r>
        <w:rPr>
          <w:rFonts w:ascii="Calibri" w:hAnsi="Calibri"/>
          <w:color w:val="181D23"/>
          <w:sz w:val="22"/>
        </w:rPr>
        <w:t>Internal link: less experimentation and slower failure correction reduce novel medicines, technologies, and production methods.</w:t>
      </w:r>
    </w:p>
    <w:p>
      <w:pPr>
        <w:pStyle w:val="ListBullet"/>
        <w:spacing w:after="80" w:line="300" w:lineRule="auto"/>
        <w:ind w:left="540" w:hanging="271"/>
      </w:pPr>
      <w:r>
        <w:rPr>
          <w:rFonts w:ascii="Calibri" w:hAnsi="Calibri"/>
          <w:color w:val="181D23"/>
          <w:sz w:val="22"/>
        </w:rPr>
        <w:t>Impact: long-run health, productivity, and security losses outweigh short-run price gains.</w:t>
      </w:r>
    </w:p>
    <w:p>
      <w:pPr>
        <w:pStyle w:val="Heading2"/>
      </w:pPr>
      <w:r>
        <w:t>State-capture DA</w:t>
      </w:r>
    </w:p>
    <w:p>
      <w:pPr>
        <w:pStyle w:val="ListBullet"/>
        <w:spacing w:after="80" w:line="300" w:lineRule="auto"/>
        <w:ind w:left="540" w:hanging="271"/>
      </w:pPr>
      <w:r>
        <w:rPr>
          <w:rFonts w:ascii="Calibri" w:hAnsi="Calibri"/>
          <w:color w:val="181D23"/>
          <w:sz w:val="22"/>
        </w:rPr>
        <w:t>Link: managers, unions, regions, contractors, and legislators compete to control public firms.</w:t>
      </w:r>
    </w:p>
    <w:p>
      <w:pPr>
        <w:pStyle w:val="ListBullet"/>
        <w:spacing w:after="80" w:line="300" w:lineRule="auto"/>
        <w:ind w:left="540" w:hanging="271"/>
      </w:pPr>
      <w:r>
        <w:rPr>
          <w:rFonts w:ascii="Calibri" w:hAnsi="Calibri"/>
          <w:color w:val="181D23"/>
          <w:sz w:val="22"/>
        </w:rPr>
        <w:t>Internal link: distributive politics protects inefficient facilities and redirects investment from mission need.</w:t>
      </w:r>
    </w:p>
    <w:p>
      <w:pPr>
        <w:pStyle w:val="ListBullet"/>
        <w:spacing w:after="80" w:line="300" w:lineRule="auto"/>
        <w:ind w:left="540" w:hanging="271"/>
      </w:pPr>
      <w:r>
        <w:rPr>
          <w:rFonts w:ascii="Calibri" w:hAnsi="Calibri"/>
          <w:color w:val="181D23"/>
          <w:sz w:val="22"/>
        </w:rPr>
        <w:t>Impact: public ownership socializes losses while entrenching the same concentrated power.</w:t>
      </w:r>
    </w:p>
    <w:p>
      <w:pPr>
        <w:pStyle w:val="Heading1"/>
      </w:pPr>
      <w:r>
        <w:t>Negative evidence</w:t>
      </w:r>
    </w:p>
    <w:p>
      <w:pPr>
        <w:pStyle w:val="DebateTag"/>
      </w:pPr>
      <w:r>
        <w:t>Government programs need external milestones because public funding can protect weak projects.</w:t>
      </w:r>
    </w:p>
    <w:p>
      <w:pPr>
        <w:pStyle w:val="EvidenceCitation"/>
      </w:pPr>
      <w:r>
        <w:t>U.S. Government Accountability Office, Weapon Systems Annual Assessment 2025, GAO-25-107569, June 11, 2025, https://www.gao.gov/products/gao-25-107569</w:t>
      </w:r>
    </w:p>
    <w:p>
      <w:pPr>
        <w:keepNext/>
        <w:keepLines/>
        <w:spacing w:after="100"/>
      </w:pPr>
      <w:r>
        <w:rPr>
          <w:rFonts w:ascii="Calibri" w:hAnsi="Calibri"/>
          <w:color w:val="181D23"/>
          <w:sz w:val="21"/>
        </w:rPr>
        <w:t>GAO's annual weapon-systems assessment reviews cost, schedule, technology maturity, and product-development practice across major acquisition programs. The report evaluates both contractor and government decisions, so it does not attribute every failure to private ownership alone. It establishes the performance problem and the points at which incentives and governance must change; the affirmative's ownership advocate supplies the additional institutional link.</w:t>
      </w:r>
    </w:p>
    <w:p>
      <w:pPr>
        <w:keepNext/>
        <w:keepLines/>
        <w:spacing w:after="100"/>
      </w:pPr>
      <w:r>
        <w:rPr>
          <w:rFonts w:ascii="Calibri" w:hAnsi="Calibri"/>
          <w:b/>
          <w:color w:val="181D23"/>
          <w:sz w:val="21"/>
          <w:u w:val="single"/>
        </w:rPr>
        <w:t xml:space="preserve">GAO finds repeated cost growth and schedule delay when programs proceed with immature technology or weak product-development practice. </w:t>
      </w:r>
      <w:r>
        <w:rPr>
          <w:rFonts w:ascii="Calibri" w:hAnsi="Calibri"/>
          <w:color w:val="181D23"/>
          <w:sz w:val="21"/>
        </w:rPr>
        <w:t>Government sponsorship alone does not guarantee disciplined innovation.</w:t>
      </w:r>
    </w:p>
    <w:p>
      <w:pPr>
        <w:keepLines/>
        <w:spacing w:after="160"/>
      </w:pPr>
      <w:r>
        <w:rPr>
          <w:rFonts w:ascii="Calibri" w:hAnsi="Calibri"/>
          <w:color w:val="181D23"/>
          <w:sz w:val="21"/>
        </w:rPr>
        <w:t>Nationalization combines buyer and producer, which may further weaken an external benchmark. The negative link is avoided only if the affirmative specifies independent testing, termination authority, open interfaces, and transparent performance measures.</w:t>
      </w:r>
    </w:p>
    <w:p>
      <w:pPr>
        <w:pStyle w:val="DebateTag"/>
      </w:pPr>
      <w:r>
        <w:t>Innovation outcomes depend on competition, entry, and the ability to replace incumbents.</w:t>
      </w:r>
    </w:p>
    <w:p>
      <w:pPr>
        <w:pStyle w:val="EvidenceCitation"/>
      </w:pPr>
      <w:r>
        <w:t>U.S. Food and Drug Administration, Generic Competition and Drug Prices, updated 2025, https://www.fda.gov/about-fda/center-drug-evaluation-and-research-cder/generic-competition-and-drug-prices</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FDA's analyses show that additional qualified generic entrants reduce prices and improve consumer savings. </w:t>
      </w:r>
      <w:r>
        <w:rPr>
          <w:rFonts w:ascii="Calibri" w:hAnsi="Calibri"/>
          <w:color w:val="181D23"/>
          <w:sz w:val="21"/>
        </w:rPr>
        <w:t>The mechanism is contestability: multiple suppliers can enter and replace one another.</w:t>
      </w:r>
    </w:p>
    <w:p>
      <w:pPr>
        <w:keepLines/>
        <w:spacing w:after="160"/>
      </w:pPr>
      <w:r>
        <w:rPr>
          <w:rFonts w:ascii="Calibri" w:hAnsi="Calibri"/>
          <w:color w:val="181D23"/>
          <w:sz w:val="21"/>
        </w:rPr>
        <w:t>A public manufacturer can add competition, but broad monopoly ownership may remove it. The negative should distinguish a public entrant from exclusive public production and argue that mixed provision preserves price discipline and redundant innovation pathways.</w:t>
      </w:r>
    </w:p>
    <w:p>
      <w:pPr>
        <w:pStyle w:val="DebateTag"/>
      </w:pPr>
      <w:r>
        <w:t>Federal investment performs best when projects are selected by measurable social returns.</w:t>
      </w:r>
    </w:p>
    <w:p>
      <w:pPr>
        <w:pStyle w:val="EvidenceCitation"/>
      </w:pPr>
      <w:r>
        <w:t>Congressional Budget Office, Federal Investment, May 2014, https://www.cbo.gov/publication/44974</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CBO explains that federal investment can increase productivity when projects generate benefits greater than their costs. </w:t>
      </w:r>
      <w:r>
        <w:rPr>
          <w:rFonts w:ascii="Calibri" w:hAnsi="Calibri"/>
          <w:color w:val="181D23"/>
          <w:sz w:val="21"/>
        </w:rPr>
        <w:t>Political incentives and implementation limits can instead direct funds toward lower-return projects.</w:t>
      </w:r>
    </w:p>
    <w:p>
      <w:pPr>
        <w:keepLines/>
        <w:spacing w:after="160"/>
      </w:pPr>
      <w:r>
        <w:rPr>
          <w:rFonts w:ascii="Calibri" w:hAnsi="Calibri"/>
          <w:color w:val="181D23"/>
          <w:sz w:val="21"/>
        </w:rPr>
        <w:t>Ownership makes allocation decisions durable because the government controls capital budgets and facility survival. A state-capture disadvantage links when the plan lacks independent evaluation, transparent cost accounting, or a credible exit mechanism.</w:t>
      </w:r>
    </w:p>
    <w:p>
      <w:pPr>
        <w:pStyle w:val="DebateTag"/>
      </w:pPr>
      <w:r>
        <w:t>Concentrated public authority can preserve lock-in unless technical data and modularity remain contestable.</w:t>
      </w:r>
    </w:p>
    <w:p>
      <w:pPr>
        <w:pStyle w:val="EvidenceCitation"/>
      </w:pPr>
      <w:r>
        <w:t>U.S. Government Accountability Office, DOD Software Licenses and Modular Open Systems, GAO-25-106931, 2025, https://files.gao.gov/reports/GAO-25-106931/index.html</w:t>
      </w:r>
    </w:p>
    <w:p>
      <w:pPr>
        <w:keepNext/>
        <w:keepLines/>
        <w:spacing w:after="100"/>
      </w:pPr>
      <w:r>
        <w:rPr>
          <w:rFonts w:ascii="Calibri" w:hAnsi="Calibri"/>
          <w:color w:val="181D23"/>
          <w:sz w:val="21"/>
        </w:rPr>
        <w:t>GAO examines how modular open-system approaches, software licensing, technical data, and interface control affect the government's ability to maintain and compete future work. These tools matter across a system's life cycle because proprietary dependence can persist long after the initial production contract. The evidence supports the case's governance claim only when paired with the argument that a public owner can impose those rules across the enterprise.</w:t>
      </w:r>
    </w:p>
    <w:p>
      <w:pPr>
        <w:keepNext/>
        <w:keepLines/>
        <w:spacing w:after="100"/>
      </w:pPr>
      <w:r>
        <w:rPr>
          <w:rFonts w:ascii="Calibri" w:hAnsi="Calibri"/>
          <w:b/>
          <w:color w:val="181D23"/>
          <w:sz w:val="21"/>
          <w:u w:val="single"/>
        </w:rPr>
        <w:t xml:space="preserve">GAO identifies modular interfaces and sufficient technical data rights as conditions for replacing components and competing future work. </w:t>
      </w:r>
      <w:r>
        <w:rPr>
          <w:rFonts w:ascii="Calibri" w:hAnsi="Calibri"/>
          <w:color w:val="181D23"/>
          <w:sz w:val="21"/>
        </w:rPr>
        <w:t>Ownership by itself does not create modular architecture.</w:t>
      </w:r>
    </w:p>
    <w:p>
      <w:pPr>
        <w:keepLines/>
        <w:spacing w:after="160"/>
      </w:pPr>
      <w:r>
        <w:rPr>
          <w:rFonts w:ascii="Calibri" w:hAnsi="Calibri"/>
          <w:color w:val="181D23"/>
          <w:sz w:val="21"/>
        </w:rPr>
        <w:t>The negative can turn the affirmative when a public enterprise becomes the sole integrated supplier. Without open standards and outside competition, nationalization may replace private vendor lock-in with bureaucratic lock-in.</w:t>
      </w:r>
    </w:p>
    <w:p>
      <w:pPr>
        <w:pStyle w:val="Heading1"/>
      </w:pPr>
      <w:r>
        <w:t>Round execution</w:t>
      </w:r>
    </w:p>
    <w:p>
      <w:pPr>
        <w:pStyle w:val="ListBullet"/>
        <w:spacing w:after="80" w:line="300" w:lineRule="auto"/>
        <w:ind w:left="540" w:hanging="271"/>
      </w:pPr>
      <w:r>
        <w:rPr>
          <w:rFonts w:ascii="Calibri" w:hAnsi="Calibri"/>
          <w:color w:val="181D23"/>
          <w:sz w:val="22"/>
        </w:rPr>
        <w:t>Specify scope: the innovation link is strongest against exclusive ownership of novel R&amp;D, weaker against mature generic production or network utilities.</w:t>
      </w:r>
    </w:p>
    <w:p>
      <w:pPr>
        <w:pStyle w:val="ListBullet"/>
        <w:spacing w:after="80" w:line="300" w:lineRule="auto"/>
        <w:ind w:left="540" w:hanging="271"/>
      </w:pPr>
      <w:r>
        <w:rPr>
          <w:rFonts w:ascii="Calibri" w:hAnsi="Calibri"/>
          <w:color w:val="181D23"/>
          <w:sz w:val="22"/>
        </w:rPr>
        <w:t>Use state capture as a comparative governance argument, not the claim that private firms are apolitical.</w:t>
      </w:r>
    </w:p>
    <w:p>
      <w:pPr>
        <w:pStyle w:val="ListBullet"/>
        <w:spacing w:after="80" w:line="300" w:lineRule="auto"/>
        <w:ind w:left="540" w:hanging="271"/>
      </w:pPr>
      <w:r>
        <w:rPr>
          <w:rFonts w:ascii="Calibri" w:hAnsi="Calibri"/>
          <w:color w:val="181D23"/>
          <w:sz w:val="22"/>
        </w:rPr>
        <w:t>Cross-ex should ask who appoints managers, sets capital budgets, closes facilities, and reviews failure.</w:t>
      </w:r>
    </w:p>
    <w:p>
      <w:pPr>
        <w:pStyle w:val="Heading1"/>
      </w:pPr>
      <w:r>
        <w:t>Evidence and formatting note</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paragraph after it.</w:t>
      </w:r>
    </w:p>
    <w:p>
      <w:pPr>
        <w:pStyle w:val="ListBullet"/>
        <w:spacing w:after="80" w:line="300" w:lineRule="auto"/>
        <w:ind w:left="540" w:hanging="271"/>
      </w:pPr>
      <w:r>
        <w:rPr>
          <w:rFonts w:ascii="Calibri" w:hAnsi="Calibri"/>
          <w:color w:val="181D23"/>
          <w:sz w:val="22"/>
        </w:rPr>
        <w:t>Only the intended read paragraph receives selective bolding and underlining; automatic highlighting is disabled.</w:t>
      </w:r>
    </w:p>
    <w:p>
      <w:pPr>
        <w:pStyle w:val="ListBullet"/>
        <w:spacing w:after="80" w:line="300" w:lineRule="auto"/>
        <w:ind w:left="540" w:hanging="271"/>
      </w:pPr>
      <w:r>
        <w:rPr>
          <w:rFonts w:ascii="Calibri" w:hAnsi="Calibri"/>
          <w:color w:val="181D23"/>
          <w:sz w:val="22"/>
        </w:rPr>
        <w:t>Update time-sensitive uniqueness and verify the linked source before tournament use.</w:t>
      </w:r>
    </w:p>
    <w:p>
      <w:pPr>
        <w:pStyle w:val="ListBullet"/>
        <w:spacing w:after="80" w:line="300" w:lineRule="auto"/>
        <w:ind w:left="540" w:hanging="271"/>
      </w:pPr>
      <w:r>
        <w:rPr>
          <w:rFonts w:ascii="Calibri" w:hAnsi="Calibri"/>
          <w:color w:val="181D23"/>
          <w:sz w:val="22"/>
        </w:rPr>
        <w:t>Analytic shells identify strategic structure; pair them with current evidence when the opposing position contests a factual premise.</w:t>
      </w:r>
    </w:p>
    <w:p>
      <w:r>
        <w:br w:type="page"/>
      </w:r>
    </w:p>
    <w:p>
      <w:pPr>
        <w:pStyle w:val="Heading1"/>
      </w:pPr>
      <w:r>
        <w:t>Condensed 1NC / 2NR map</w:t>
      </w:r>
    </w:p>
    <w:p>
      <w:r>
        <w:rPr>
          <w:rFonts w:ascii="Calibri" w:hAnsi="Calibri"/>
          <w:b/>
          <w:color w:val="1F3A5F"/>
          <w:sz w:val="22"/>
        </w:rPr>
        <w:t xml:space="preserve">Thesis: </w:t>
      </w:r>
      <w:r>
        <w:rPr>
          <w:rFonts w:ascii="Calibri" w:hAnsi="Calibri"/>
          <w:color w:val="181D23"/>
          <w:sz w:val="22"/>
        </w:rPr>
        <w:t>Changing the owner does not eliminate incentives or capture; it relocates them. Public firms can improve mission alignment, but weak external benchmarks, political allocation, and soft budget constraints may protect failed projects or reduce risky innovation.</w:t>
      </w:r>
    </w:p>
    <w:p>
      <w:r>
        <w:rPr>
          <w:rFonts w:ascii="Calibri" w:hAnsi="Calibri"/>
          <w:b/>
          <w:color w:val="1F3A5F"/>
          <w:sz w:val="22"/>
        </w:rPr>
        <w:t xml:space="preserve">1. Innovation DA: </w:t>
      </w:r>
      <w:r>
        <w:rPr>
          <w:rFonts w:ascii="Calibri" w:hAnsi="Calibri"/>
          <w:color w:val="181D23"/>
          <w:sz w:val="22"/>
        </w:rPr>
        <w:t>Link: broad ownership weakens residual rewards and political budgeting favors visible, low-risk projects.</w:t>
      </w:r>
    </w:p>
    <w:p>
      <w:r>
        <w:rPr>
          <w:rFonts w:ascii="Calibri" w:hAnsi="Calibri"/>
          <w:b/>
          <w:color w:val="1F3A5F"/>
          <w:sz w:val="22"/>
        </w:rPr>
        <w:t xml:space="preserve">2. State-capture DA: </w:t>
      </w:r>
      <w:r>
        <w:rPr>
          <w:rFonts w:ascii="Calibri" w:hAnsi="Calibri"/>
          <w:color w:val="181D23"/>
          <w:sz w:val="22"/>
        </w:rPr>
        <w:t>Link: managers, unions, regions, contractors, and legislators compete to control public firms.</w:t>
      </w:r>
    </w:p>
    <w:p>
      <w:r>
        <w:rPr>
          <w:rFonts w:ascii="Calibri" w:hAnsi="Calibri"/>
          <w:b/>
          <w:color w:val="1F3A5F"/>
          <w:sz w:val="22"/>
        </w:rPr>
        <w:t xml:space="preserve">Collapse instruction: </w:t>
      </w:r>
      <w:r>
        <w:rPr>
          <w:rFonts w:ascii="Calibri" w:hAnsi="Calibri"/>
          <w:color w:val="181D23"/>
          <w:sz w:val="22"/>
        </w:rPr>
        <w:t>Cross-ex should ask who appoints managers, sets capital budgets, closes facilities, and reviews failure.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NEG 3 — Innovation and State Capture Disadvantages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