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5 — Kritik Library</w:t>
      </w:r>
    </w:p>
    <w:p>
      <w:pPr>
        <w:spacing w:after="240"/>
        <w:pBdr>
          <w:bottom w:val="single" w:sz="8" w:space="8" w:color="2E74B5"/>
        </w:pBdr>
      </w:pPr>
      <w:r>
        <w:rPr>
          <w:rFonts w:ascii="Calibri" w:hAnsi="Calibri"/>
          <w:i/>
          <w:color w:val="656D78"/>
          <w:sz w:val="24"/>
        </w:rPr>
        <w:t>State capitalism | Neoliberal nationalization | Militarism | Biopolitics | Settler colonialism</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Public title does not automatically transform the social relations, security logics, or market disciplines organized through an industry. The kritik files test what the affirmative treats as public, whose interests the state represents, and which harms ownership reform leaves intact.</w:t>
      </w:r>
    </w:p>
    <w:p>
      <w:pPr>
        <w:pStyle w:val="Heading1"/>
      </w:pPr>
      <w:r>
        <w:t>Argument outlines</w:t>
      </w:r>
    </w:p>
    <w:p>
      <w:pPr>
        <w:pStyle w:val="Heading2"/>
      </w:pPr>
      <w:r>
        <w:t>State capitalism K</w:t>
      </w:r>
    </w:p>
    <w:p>
      <w:pPr>
        <w:pStyle w:val="ListBullet"/>
        <w:spacing w:after="80" w:line="300" w:lineRule="auto"/>
        <w:ind w:left="540" w:hanging="271"/>
      </w:pPr>
      <w:r>
        <w:rPr>
          <w:rFonts w:ascii="Calibri" w:hAnsi="Calibri"/>
          <w:color w:val="181D23"/>
          <w:sz w:val="22"/>
        </w:rPr>
        <w:t>Link: the plan changes the shareholder while preserving commodity production, wage hierarchy, competition, and accumulation.</w:t>
      </w:r>
    </w:p>
    <w:p>
      <w:pPr>
        <w:pStyle w:val="ListBullet"/>
        <w:spacing w:after="80" w:line="300" w:lineRule="auto"/>
        <w:ind w:left="540" w:hanging="271"/>
      </w:pPr>
      <w:r>
        <w:rPr>
          <w:rFonts w:ascii="Calibri" w:hAnsi="Calibri"/>
          <w:color w:val="181D23"/>
          <w:sz w:val="22"/>
        </w:rPr>
        <w:t>Impact: socializing risk stabilizes exploitative relations and forecloses democratic alternatives.</w:t>
      </w:r>
    </w:p>
    <w:p>
      <w:pPr>
        <w:pStyle w:val="ListBullet"/>
        <w:spacing w:after="80" w:line="300" w:lineRule="auto"/>
        <w:ind w:left="540" w:hanging="271"/>
      </w:pPr>
      <w:r>
        <w:rPr>
          <w:rFonts w:ascii="Calibri" w:hAnsi="Calibri"/>
          <w:color w:val="181D23"/>
          <w:sz w:val="22"/>
        </w:rPr>
        <w:t>Alternative: organize provision through worker, community, and user control rather than federal corporate ownership.</w:t>
      </w:r>
    </w:p>
    <w:p>
      <w:pPr>
        <w:pStyle w:val="Heading2"/>
      </w:pPr>
      <w:r>
        <w:t>Neoliberal nationalization K</w:t>
      </w:r>
    </w:p>
    <w:p>
      <w:pPr>
        <w:pStyle w:val="ListBullet"/>
        <w:spacing w:after="80" w:line="300" w:lineRule="auto"/>
        <w:ind w:left="540" w:hanging="271"/>
      </w:pPr>
      <w:r>
        <w:rPr>
          <w:rFonts w:ascii="Calibri" w:hAnsi="Calibri"/>
          <w:color w:val="181D23"/>
          <w:sz w:val="22"/>
        </w:rPr>
        <w:t>Link: crisis ownership can preserve markets by moving losses to the public balance sheet and reorganizing public firms around competition and austerity.</w:t>
      </w:r>
    </w:p>
    <w:p>
      <w:pPr>
        <w:pStyle w:val="ListBullet"/>
        <w:spacing w:after="80" w:line="300" w:lineRule="auto"/>
        <w:ind w:left="540" w:hanging="271"/>
      </w:pPr>
      <w:r>
        <w:rPr>
          <w:rFonts w:ascii="Calibri" w:hAnsi="Calibri"/>
          <w:color w:val="181D23"/>
          <w:sz w:val="22"/>
        </w:rPr>
        <w:t>Impact: the plan mistakes public title for post-neoliberal transformation.</w:t>
      </w:r>
    </w:p>
    <w:p>
      <w:pPr>
        <w:pStyle w:val="ListBullet"/>
        <w:spacing w:after="80" w:line="300" w:lineRule="auto"/>
        <w:ind w:left="540" w:hanging="271"/>
      </w:pPr>
      <w:r>
        <w:rPr>
          <w:rFonts w:ascii="Calibri" w:hAnsi="Calibri"/>
          <w:color w:val="181D23"/>
          <w:sz w:val="22"/>
        </w:rPr>
        <w:t>Alternative: reject market metrics and build democratic decommodification.</w:t>
      </w:r>
    </w:p>
    <w:p>
      <w:pPr>
        <w:pStyle w:val="Heading2"/>
      </w:pPr>
      <w:r>
        <w:t>Militarism K</w:t>
      </w:r>
    </w:p>
    <w:p>
      <w:pPr>
        <w:pStyle w:val="ListBullet"/>
        <w:spacing w:after="80" w:line="300" w:lineRule="auto"/>
        <w:ind w:left="540" w:hanging="271"/>
      </w:pPr>
      <w:r>
        <w:rPr>
          <w:rFonts w:ascii="Calibri" w:hAnsi="Calibri"/>
          <w:color w:val="181D23"/>
          <w:sz w:val="22"/>
        </w:rPr>
        <w:t>Link: optimizing public weapons production sanitizes permanent war capacity.</w:t>
      </w:r>
    </w:p>
    <w:p>
      <w:pPr>
        <w:pStyle w:val="ListBullet"/>
        <w:spacing w:after="80" w:line="300" w:lineRule="auto"/>
        <w:ind w:left="540" w:hanging="271"/>
      </w:pPr>
      <w:r>
        <w:rPr>
          <w:rFonts w:ascii="Calibri" w:hAnsi="Calibri"/>
          <w:color w:val="181D23"/>
          <w:sz w:val="22"/>
        </w:rPr>
        <w:t>Impact: technical efficiency normalizes coercive security and export violence.</w:t>
      </w:r>
    </w:p>
    <w:p>
      <w:pPr>
        <w:pStyle w:val="ListBullet"/>
        <w:spacing w:after="80" w:line="300" w:lineRule="auto"/>
        <w:ind w:left="540" w:hanging="271"/>
      </w:pPr>
      <w:r>
        <w:rPr>
          <w:rFonts w:ascii="Calibri" w:hAnsi="Calibri"/>
          <w:color w:val="181D23"/>
          <w:sz w:val="22"/>
        </w:rPr>
        <w:t>Alternative: refuse the demand to perfect the arsenal and prioritize demilitarization.</w:t>
      </w:r>
    </w:p>
    <w:p>
      <w:pPr>
        <w:pStyle w:val="Heading2"/>
      </w:pPr>
      <w:r>
        <w:t>Biopolitics K</w:t>
      </w:r>
    </w:p>
    <w:p>
      <w:pPr>
        <w:pStyle w:val="ListBullet"/>
        <w:spacing w:after="80" w:line="300" w:lineRule="auto"/>
        <w:ind w:left="540" w:hanging="271"/>
      </w:pPr>
      <w:r>
        <w:rPr>
          <w:rFonts w:ascii="Calibri" w:hAnsi="Calibri"/>
          <w:color w:val="181D23"/>
          <w:sz w:val="22"/>
        </w:rPr>
        <w:t>Link: public insurance and pharmaceutical systems classify bodies, define covered need, and centralize surveillance.</w:t>
      </w:r>
    </w:p>
    <w:p>
      <w:pPr>
        <w:pStyle w:val="ListBullet"/>
        <w:spacing w:after="80" w:line="300" w:lineRule="auto"/>
        <w:ind w:left="540" w:hanging="271"/>
      </w:pPr>
      <w:r>
        <w:rPr>
          <w:rFonts w:ascii="Calibri" w:hAnsi="Calibri"/>
          <w:color w:val="181D23"/>
          <w:sz w:val="22"/>
        </w:rPr>
        <w:t>Impact: managerial care can discipline disabled, racialized, poor, and trans people.</w:t>
      </w:r>
    </w:p>
    <w:p>
      <w:pPr>
        <w:pStyle w:val="ListBullet"/>
        <w:spacing w:after="80" w:line="300" w:lineRule="auto"/>
        <w:ind w:left="540" w:hanging="271"/>
      </w:pPr>
      <w:r>
        <w:rPr>
          <w:rFonts w:ascii="Calibri" w:hAnsi="Calibri"/>
          <w:color w:val="181D23"/>
          <w:sz w:val="22"/>
        </w:rPr>
        <w:t>Alternative: patient autonomy, community governance, and noncarceral care.</w:t>
      </w:r>
    </w:p>
    <w:p>
      <w:pPr>
        <w:pStyle w:val="Heading2"/>
      </w:pPr>
      <w:r>
        <w:t>Settler-colonial infrastructure K</w:t>
      </w:r>
    </w:p>
    <w:p>
      <w:pPr>
        <w:pStyle w:val="ListBullet"/>
        <w:spacing w:after="80" w:line="300" w:lineRule="auto"/>
        <w:ind w:left="540" w:hanging="271"/>
      </w:pPr>
      <w:r>
        <w:rPr>
          <w:rFonts w:ascii="Calibri" w:hAnsi="Calibri"/>
          <w:color w:val="181D23"/>
          <w:sz w:val="22"/>
        </w:rPr>
        <w:t>Link: federal power expansion can cross Indigenous land without consent and reproduce extraction.</w:t>
      </w:r>
    </w:p>
    <w:p>
      <w:pPr>
        <w:pStyle w:val="ListBullet"/>
        <w:spacing w:after="80" w:line="300" w:lineRule="auto"/>
        <w:ind w:left="540" w:hanging="271"/>
      </w:pPr>
      <w:r>
        <w:rPr>
          <w:rFonts w:ascii="Calibri" w:hAnsi="Calibri"/>
          <w:color w:val="181D23"/>
          <w:sz w:val="22"/>
        </w:rPr>
        <w:t>Impact: climate infrastructure becomes another territorial project.</w:t>
      </w:r>
    </w:p>
    <w:p>
      <w:pPr>
        <w:pStyle w:val="ListBullet"/>
        <w:spacing w:after="80" w:line="300" w:lineRule="auto"/>
        <w:ind w:left="540" w:hanging="271"/>
      </w:pPr>
      <w:r>
        <w:rPr>
          <w:rFonts w:ascii="Calibri" w:hAnsi="Calibri"/>
          <w:color w:val="181D23"/>
          <w:sz w:val="22"/>
        </w:rPr>
        <w:t>Alternative: jurisdiction, consent, land return, and Indigenous-led energy governance.</w:t>
      </w:r>
    </w:p>
    <w:p>
      <w:pPr>
        <w:pStyle w:val="Heading1"/>
      </w:pPr>
      <w:r>
        <w:t>Negative evidence</w:t>
      </w:r>
    </w:p>
    <w:p>
      <w:pPr>
        <w:pStyle w:val="DebateTag"/>
      </w:pPr>
      <w:r>
        <w:t>Public ownership can preserve market discipline instead of displacing neoliberal governance.</w:t>
      </w:r>
    </w:p>
    <w:p>
      <w:pPr>
        <w:pStyle w:val="EvidenceCitation"/>
      </w:pPr>
      <w:r>
        <w:t>David A. McDonald, editor, Making Public in a Privatized World: The Struggle for Essential Services, Zed Books, 2016, https://www.tni.org/en/publication/making-public-in-a-privatized-world</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Critical public-ownership scholarship distinguishes legal title from democratic control, decommodification, worker power, and accountability to users. </w:t>
      </w:r>
      <w:r>
        <w:rPr>
          <w:rFonts w:ascii="Calibri" w:hAnsi="Calibri"/>
          <w:color w:val="181D23"/>
          <w:sz w:val="21"/>
        </w:rPr>
        <w:t>State firms can operate through commercial benchmarks and hierarchical management.</w:t>
      </w:r>
    </w:p>
    <w:p>
      <w:pPr>
        <w:keepLines/>
        <w:spacing w:after="160"/>
      </w:pPr>
      <w:r>
        <w:rPr>
          <w:rFonts w:ascii="Calibri" w:hAnsi="Calibri"/>
          <w:color w:val="181D23"/>
          <w:sz w:val="21"/>
        </w:rPr>
        <w:t>The negative should identify the plan's specific governance link rather than assert that every public enterprise is neoliberal. The alternative contests market discipline and demands institutions controlled by affected communities.</w:t>
      </w:r>
    </w:p>
    <w:p>
      <w:pPr>
        <w:pStyle w:val="DebateTag"/>
      </w:pPr>
      <w:r>
        <w:t>Nationalization during crisis can socialize private losses while protecting accumulation.</w:t>
      </w:r>
    </w:p>
    <w:p>
      <w:pPr>
        <w:pStyle w:val="EvidenceCitation"/>
      </w:pPr>
      <w:r>
        <w:t>Massimo Florio, The Return of Public Enterprise, 2014, https://www.jstor.org/stable/10.2307/j.ctt9qf0q3</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Public acquisition can occur for many reasons, including rescue of strategically important firms and stabilization of markets. </w:t>
      </w:r>
      <w:r>
        <w:rPr>
          <w:rFonts w:ascii="Calibri" w:hAnsi="Calibri"/>
          <w:color w:val="181D23"/>
          <w:sz w:val="21"/>
        </w:rPr>
        <w:t>Ownership change does not determine whether operations are democratic, commercial, redistributive, or austerity driven.</w:t>
      </w:r>
    </w:p>
    <w:p>
      <w:pPr>
        <w:keepLines/>
        <w:spacing w:after="160"/>
      </w:pPr>
      <w:r>
        <w:rPr>
          <w:rFonts w:ascii="Calibri" w:hAnsi="Calibri"/>
          <w:color w:val="181D23"/>
          <w:sz w:val="21"/>
        </w:rPr>
        <w:t>The kritik turns solvency when the plan measures success through competitiveness and cost reduction while leaving production and decision hierarchy intact. The affirmative must defend governance, not only title.</w:t>
      </w:r>
    </w:p>
    <w:p>
      <w:pPr>
        <w:pStyle w:val="DebateTag"/>
      </w:pPr>
      <w:r>
        <w:t>Weapons acquisition reform can normalize military purpose by making violence appear efficient and accountable.</w:t>
      </w:r>
    </w:p>
    <w:p>
      <w:pPr>
        <w:pStyle w:val="EvidenceCitation"/>
      </w:pPr>
      <w:r>
        <w:t>Julia Gledhill, Recognizing Reality: A Case for Nationalizing the US Arms Industry, Stimson Center, September 2025, https://www.stimson.org/2025/recognizing-reality-a-case-for-nationalizing-the-us-arms-industry/</w:t>
      </w:r>
    </w:p>
    <w:p>
      <w:pPr>
        <w:keepNext/>
        <w:keepLines/>
        <w:spacing w:after="100"/>
      </w:pPr>
      <w:r>
        <w:rPr>
          <w:rFonts w:ascii="Calibri" w:hAnsi="Calibri"/>
          <w:color w:val="181D23"/>
          <w:sz w:val="21"/>
        </w:rPr>
        <w:t>Gledhill's proposal starts from the unusual structure of the arms industry: the federal government is the dominant customer, a small group of primes integrate major systems, and public policy already sustains strategically necessary capacity. The article treats nationalization as a governance change within that existing dependency, not as the government entering an ordinary competitive consumer market. The proposed nonprofit form is intended to preserve organizations and skilled workforces while changing residual control and corporate purpose.</w:t>
      </w:r>
    </w:p>
    <w:p>
      <w:pPr>
        <w:keepNext/>
        <w:keepLines/>
        <w:spacing w:after="100"/>
      </w:pPr>
      <w:r>
        <w:rPr>
          <w:rFonts w:ascii="Calibri" w:hAnsi="Calibri"/>
          <w:b/>
          <w:color w:val="181D23"/>
          <w:sz w:val="21"/>
          <w:u w:val="single"/>
        </w:rPr>
        <w:t xml:space="preserve">The nationalization proposal seeks to subordinate arms firms to public strategy and reduce private sales incentives. </w:t>
      </w:r>
      <w:r>
        <w:rPr>
          <w:rFonts w:ascii="Calibri" w:hAnsi="Calibri"/>
          <w:color w:val="181D23"/>
          <w:sz w:val="21"/>
        </w:rPr>
        <w:t>That reform still preserves state authority to define strategic necessity and maintain industrial capacity.</w:t>
      </w:r>
    </w:p>
    <w:p>
      <w:pPr>
        <w:keepLines/>
        <w:spacing w:after="160"/>
      </w:pPr>
      <w:r>
        <w:rPr>
          <w:rFonts w:ascii="Calibri" w:hAnsi="Calibri"/>
          <w:color w:val="181D23"/>
          <w:sz w:val="21"/>
        </w:rPr>
        <w:t>The militarism kritik argues that public legitimacy can stabilize the arsenal even if lobbying falls. The negative should connect the plan to force posture, exports, or procurement rather than treating any public factory as identical to war.</w:t>
      </w:r>
    </w:p>
    <w:p>
      <w:pPr>
        <w:pStyle w:val="DebateTag"/>
      </w:pPr>
      <w:r>
        <w:t>Centralized health administration creates both universal capacity and classificatory power.</w:t>
      </w:r>
    </w:p>
    <w:p>
      <w:pPr>
        <w:pStyle w:val="EvidenceCitation"/>
      </w:pPr>
      <w:r>
        <w:t>Congressional Budget Office, Key Design Components and Considerations for Establishing a Single-Payer Health Care System, May 1, 2019, https://www.cbo.gov/publication/55150</w:t>
      </w:r>
    </w:p>
    <w:p>
      <w:pPr>
        <w:keepNext/>
        <w:keepLines/>
        <w:spacing w:after="100"/>
      </w:pPr>
      <w:r>
        <w:rPr>
          <w:rFonts w:ascii="Calibri" w:hAnsi="Calibri"/>
          <w:color w:val="181D23"/>
          <w:sz w:val="21"/>
        </w:rPr>
        <w:t>CBO's design report separates the insurance functions a single public payer would consolidate from the delivery of medical care by hospitals, physicians, and other providers. It examines administration, eligibility, benefits, payment, financing, and transition as linked policy choices. This distinction prevents the affirmative from overstating the plan as nationalization of providers; the ownership claim concerns the insurance institution and risk pool.</w:t>
      </w:r>
    </w:p>
    <w:p>
      <w:pPr>
        <w:keepNext/>
        <w:keepLines/>
        <w:spacing w:after="100"/>
      </w:pPr>
      <w:r>
        <w:rPr>
          <w:rFonts w:ascii="Calibri" w:hAnsi="Calibri"/>
          <w:b/>
          <w:color w:val="181D23"/>
          <w:sz w:val="21"/>
          <w:u w:val="single"/>
        </w:rPr>
        <w:t xml:space="preserve">CBO explains that a single payer centralizes eligibility, benefits, payment, and utilization rules. </w:t>
      </w:r>
      <w:r>
        <w:rPr>
          <w:rFonts w:ascii="Calibri" w:hAnsi="Calibri"/>
          <w:color w:val="181D23"/>
          <w:sz w:val="21"/>
        </w:rPr>
        <w:t>Those functions can simplify access but also determine which services and providers receive recognition and resources.</w:t>
      </w:r>
    </w:p>
    <w:p>
      <w:pPr>
        <w:keepLines/>
        <w:spacing w:after="160"/>
      </w:pPr>
      <w:r>
        <w:rPr>
          <w:rFonts w:ascii="Calibri" w:hAnsi="Calibri"/>
          <w:color w:val="181D23"/>
          <w:sz w:val="21"/>
        </w:rPr>
        <w:t>The biopolitics kritik focuses on who writes those classifications and how they are enforced. An affirmative answer needs patient rights, nondiscrimination, privacy, and community governance rather than the assertion that universality alone eliminates domination.</w:t>
      </w:r>
    </w:p>
    <w:p>
      <w:pPr>
        <w:pStyle w:val="DebateTag"/>
      </w:pPr>
      <w:r>
        <w:t>Interstate infrastructure planning must account for tribal jurisdiction and consent.</w:t>
      </w:r>
    </w:p>
    <w:p>
      <w:pPr>
        <w:pStyle w:val="EvidenceCitation"/>
      </w:pPr>
      <w:r>
        <w:t>U.S. Department of Energy, Tribal Energy Sovereignty, https://www.energy.gov/indianenergy/tribal-energy-sovereignty</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DOE recognizes tribal sovereignty and the importance of tribal control over energy resources and development decisions. </w:t>
      </w:r>
      <w:r>
        <w:rPr>
          <w:rFonts w:ascii="Calibri" w:hAnsi="Calibri"/>
          <w:color w:val="181D23"/>
          <w:sz w:val="21"/>
        </w:rPr>
        <w:t>Federal infrastructure can affect land, cultural resources, and jurisdiction beyond ordinary utility planning.</w:t>
      </w:r>
    </w:p>
    <w:p>
      <w:pPr>
        <w:keepLines/>
        <w:spacing w:after="160"/>
      </w:pPr>
      <w:r>
        <w:rPr>
          <w:rFonts w:ascii="Calibri" w:hAnsi="Calibri"/>
          <w:color w:val="181D23"/>
          <w:sz w:val="21"/>
        </w:rPr>
        <w:t>The settler-colonialism kritik links when a national grid plan treats federal authority as sufficient consent. The alternative prioritizes tribal jurisdiction, meaningful consent, and Indigenous-led ownership rather than federal mastery over clean infrastructure.</w:t>
      </w:r>
    </w:p>
    <w:p>
      <w:pPr>
        <w:pStyle w:val="Heading1"/>
      </w:pPr>
      <w:r>
        <w:t>Round execution</w:t>
      </w:r>
    </w:p>
    <w:p>
      <w:pPr>
        <w:pStyle w:val="ListBullet"/>
        <w:spacing w:after="80" w:line="300" w:lineRule="auto"/>
        <w:ind w:left="540" w:hanging="271"/>
      </w:pPr>
      <w:r>
        <w:rPr>
          <w:rFonts w:ascii="Calibri" w:hAnsi="Calibri"/>
          <w:color w:val="181D23"/>
          <w:sz w:val="22"/>
        </w:rPr>
        <w:t>Do not read five generic kritiks. Select the one produced by the affirmative's mechanism and framing.</w:t>
      </w:r>
    </w:p>
    <w:p>
      <w:pPr>
        <w:pStyle w:val="ListBullet"/>
        <w:spacing w:after="80" w:line="300" w:lineRule="auto"/>
        <w:ind w:left="540" w:hanging="271"/>
      </w:pPr>
      <w:r>
        <w:rPr>
          <w:rFonts w:ascii="Calibri" w:hAnsi="Calibri"/>
          <w:color w:val="181D23"/>
          <w:sz w:val="22"/>
        </w:rPr>
        <w:t>The link should quote the plan, framework, or solvency story—not merely the resolution.</w:t>
      </w:r>
    </w:p>
    <w:p>
      <w:pPr>
        <w:pStyle w:val="ListBullet"/>
        <w:spacing w:after="80" w:line="300" w:lineRule="auto"/>
        <w:ind w:left="540" w:hanging="271"/>
      </w:pPr>
      <w:r>
        <w:rPr>
          <w:rFonts w:ascii="Calibri" w:hAnsi="Calibri"/>
          <w:color w:val="181D23"/>
          <w:sz w:val="22"/>
        </w:rPr>
        <w:t>Explain what the alternative changes institutionally and why the permutation cannot capture it.</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Public title does not automatically transform the social relations, security logics, or market disciplines organized through an industry. The kritik files test what the affirmative treats as public, whose interests the state represents, and which harms ownership reform leaves intact.</w:t>
      </w:r>
    </w:p>
    <w:p>
      <w:r>
        <w:rPr>
          <w:rFonts w:ascii="Calibri" w:hAnsi="Calibri"/>
          <w:b/>
          <w:color w:val="1F3A5F"/>
          <w:sz w:val="22"/>
        </w:rPr>
        <w:t xml:space="preserve">1. State capitalism K: </w:t>
      </w:r>
      <w:r>
        <w:rPr>
          <w:rFonts w:ascii="Calibri" w:hAnsi="Calibri"/>
          <w:color w:val="181D23"/>
          <w:sz w:val="22"/>
        </w:rPr>
        <w:t>Link: the plan changes the shareholder while preserving commodity production, wage hierarchy, competition, and accumulation.</w:t>
      </w:r>
    </w:p>
    <w:p>
      <w:r>
        <w:rPr>
          <w:rFonts w:ascii="Calibri" w:hAnsi="Calibri"/>
          <w:b/>
          <w:color w:val="1F3A5F"/>
          <w:sz w:val="22"/>
        </w:rPr>
        <w:t xml:space="preserve">2. Neoliberal nationalization K: </w:t>
      </w:r>
      <w:r>
        <w:rPr>
          <w:rFonts w:ascii="Calibri" w:hAnsi="Calibri"/>
          <w:color w:val="181D23"/>
          <w:sz w:val="22"/>
        </w:rPr>
        <w:t>Link: crisis ownership can preserve markets by moving losses to the public balance sheet and reorganizing public firms around competition and austerity.</w:t>
      </w:r>
    </w:p>
    <w:p>
      <w:r>
        <w:rPr>
          <w:rFonts w:ascii="Calibri" w:hAnsi="Calibri"/>
          <w:b/>
          <w:color w:val="1F3A5F"/>
          <w:sz w:val="22"/>
        </w:rPr>
        <w:t xml:space="preserve">3. Militarism K: </w:t>
      </w:r>
      <w:r>
        <w:rPr>
          <w:rFonts w:ascii="Calibri" w:hAnsi="Calibri"/>
          <w:color w:val="181D23"/>
          <w:sz w:val="22"/>
        </w:rPr>
        <w:t>Link: optimizing public weapons production sanitizes permanent war capacity.</w:t>
      </w:r>
    </w:p>
    <w:p>
      <w:r>
        <w:rPr>
          <w:rFonts w:ascii="Calibri" w:hAnsi="Calibri"/>
          <w:b/>
          <w:color w:val="1F3A5F"/>
          <w:sz w:val="22"/>
        </w:rPr>
        <w:t xml:space="preserve">4. Biopolitics K: </w:t>
      </w:r>
      <w:r>
        <w:rPr>
          <w:rFonts w:ascii="Calibri" w:hAnsi="Calibri"/>
          <w:color w:val="181D23"/>
          <w:sz w:val="22"/>
        </w:rPr>
        <w:t>Link: public insurance and pharmaceutical systems classify bodies, define covered need, and centralize surveillance.</w:t>
      </w:r>
    </w:p>
    <w:p>
      <w:r>
        <w:rPr>
          <w:rFonts w:ascii="Calibri" w:hAnsi="Calibri"/>
          <w:b/>
          <w:color w:val="1F3A5F"/>
          <w:sz w:val="22"/>
        </w:rPr>
        <w:t xml:space="preserve">5. Settler-colonial infrastructure K: </w:t>
      </w:r>
      <w:r>
        <w:rPr>
          <w:rFonts w:ascii="Calibri" w:hAnsi="Calibri"/>
          <w:color w:val="181D23"/>
          <w:sz w:val="22"/>
        </w:rPr>
        <w:t>Link: federal power expansion can cross Indigenous land without consent and reproduce extraction.</w:t>
      </w:r>
    </w:p>
    <w:p>
      <w:r>
        <w:rPr>
          <w:rFonts w:ascii="Calibri" w:hAnsi="Calibri"/>
          <w:b/>
          <w:color w:val="1F3A5F"/>
          <w:sz w:val="22"/>
        </w:rPr>
        <w:t xml:space="preserve">Collapse instruction: </w:t>
      </w:r>
      <w:r>
        <w:rPr>
          <w:rFonts w:ascii="Calibri" w:hAnsi="Calibri"/>
          <w:color w:val="181D23"/>
          <w:sz w:val="22"/>
        </w:rPr>
        <w:t>Explain what the alternative changes institutionally and why the permutation cannot capture it.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5 — Kritik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