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7 — Medicare for All Case Negative</w:t>
      </w:r>
    </w:p>
    <w:p>
      <w:pPr>
        <w:spacing w:after="240"/>
        <w:pBdr>
          <w:bottom w:val="single" w:sz="8" w:space="8" w:color="2E74B5"/>
        </w:pBdr>
      </w:pPr>
      <w:r>
        <w:rPr>
          <w:rFonts w:ascii="Calibri" w:hAnsi="Calibri"/>
          <w:i/>
          <w:color w:val="656D78"/>
          <w:sz w:val="24"/>
        </w:rPr>
        <w:t>Medicare-X counterplan | Congestion | Transition | Financing and provider capacity</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The affirmative wins coverage and administrative simplification, but must defend mandatory nationwide conversion. The negative should offer a public option plus subsidies and reinsurance, then isolate provider-capacity and transition harms.</w:t>
      </w:r>
    </w:p>
    <w:p>
      <w:pPr>
        <w:pStyle w:val="Heading1"/>
      </w:pPr>
      <w:r>
        <w:t>Argument outlines</w:t>
      </w:r>
    </w:p>
    <w:p>
      <w:pPr>
        <w:pStyle w:val="Heading2"/>
      </w:pPr>
      <w:r>
        <w:t>Core 1NC</w:t>
      </w:r>
    </w:p>
    <w:p>
      <w:pPr>
        <w:pStyle w:val="ListBullet"/>
        <w:spacing w:after="80" w:line="300" w:lineRule="auto"/>
        <w:ind w:left="540" w:hanging="271"/>
      </w:pPr>
      <w:r>
        <w:rPr>
          <w:rFonts w:ascii="Calibri" w:hAnsi="Calibri"/>
          <w:color w:val="181D23"/>
          <w:sz w:val="22"/>
        </w:rPr>
        <w:t>Medicare-X counterplan: nationwide federal option, expanded tax credits, reinsurance, and rural payment support.</w:t>
      </w:r>
    </w:p>
    <w:p>
      <w:pPr>
        <w:pStyle w:val="ListBullet"/>
        <w:spacing w:after="80" w:line="300" w:lineRule="auto"/>
        <w:ind w:left="540" w:hanging="271"/>
      </w:pPr>
      <w:r>
        <w:rPr>
          <w:rFonts w:ascii="Calibri" w:hAnsi="Calibri"/>
          <w:color w:val="181D23"/>
          <w:sz w:val="22"/>
        </w:rPr>
        <w:t>Congestion DA: eliminating financial barriers increases demand before provider supply adjusts.</w:t>
      </w:r>
    </w:p>
    <w:p>
      <w:pPr>
        <w:pStyle w:val="ListBullet"/>
        <w:spacing w:after="80" w:line="300" w:lineRule="auto"/>
        <w:ind w:left="540" w:hanging="271"/>
      </w:pPr>
      <w:r>
        <w:rPr>
          <w:rFonts w:ascii="Calibri" w:hAnsi="Calibri"/>
          <w:color w:val="181D23"/>
          <w:sz w:val="22"/>
        </w:rPr>
        <w:t>Transition DA: converting eligibility, payment, claims, and benefits nationwide risks service interruption.</w:t>
      </w:r>
    </w:p>
    <w:p>
      <w:pPr>
        <w:pStyle w:val="ListBullet"/>
        <w:spacing w:after="80" w:line="300" w:lineRule="auto"/>
        <w:ind w:left="540" w:hanging="271"/>
      </w:pPr>
      <w:r>
        <w:rPr>
          <w:rFonts w:ascii="Calibri" w:hAnsi="Calibri"/>
          <w:color w:val="181D23"/>
          <w:sz w:val="22"/>
        </w:rPr>
        <w:t>Solvency press: administrative savings depend on provider payment and implementation choices, not ownership alone.</w:t>
      </w:r>
    </w:p>
    <w:p>
      <w:pPr>
        <w:pStyle w:val="Heading1"/>
      </w:pPr>
      <w:r>
        <w:t>Negative evidence</w:t>
      </w:r>
    </w:p>
    <w:p>
      <w:pPr>
        <w:pStyle w:val="DebateTag"/>
      </w:pPr>
      <w:r>
        <w:t>Single payer expands use but can increase congestion when supply responds slowly.</w:t>
      </w:r>
    </w:p>
    <w:p>
      <w:pPr>
        <w:pStyle w:val="EvidenceCitation"/>
      </w:pPr>
      <w:r>
        <w:t>Congressional Budget Office, How CBO Analyzes Proposals for a Single-Payer Health Care System, Working Paper 2020-08, December 2020, https://www.cbo.gov/publication/56811</w:t>
      </w:r>
    </w:p>
    <w:p>
      <w:pPr>
        <w:keepNext/>
        <w:keepLines/>
        <w:spacing w:after="100"/>
      </w:pPr>
      <w:r>
        <w:rPr>
          <w:rFonts w:ascii="Calibri" w:hAnsi="Calibri"/>
          <w:color w:val="181D23"/>
          <w:sz w:val="21"/>
        </w:rPr>
        <w:t>CBO evaluates illustrative single-payer systems rather than scoring one final enacted bill. The agency varies provider payment, cost sharing, covered benefits, and other design choices, then estimates how coverage, use, administrative spending, and total national health expenditures respond. That structure is important context: the evidence supports conditional comparisons and identifies mechanisms, but it does not claim every imaginable single-payer design produces the same fiscal result.</w:t>
      </w:r>
    </w:p>
    <w:p>
      <w:pPr>
        <w:keepNext/>
        <w:keepLines/>
        <w:spacing w:after="100"/>
      </w:pPr>
      <w:r>
        <w:rPr>
          <w:rFonts w:ascii="Calibri" w:hAnsi="Calibri"/>
          <w:b/>
          <w:color w:val="181D23"/>
          <w:sz w:val="21"/>
          <w:u w:val="single"/>
        </w:rPr>
        <w:t xml:space="preserve">CBO finds near-universal coverage and lower financial barriers increase the use of care. </w:t>
      </w:r>
      <w:r>
        <w:rPr>
          <w:rFonts w:ascii="Calibri" w:hAnsi="Calibri"/>
          <w:color w:val="181D23"/>
          <w:sz w:val="21"/>
        </w:rPr>
        <w:t>Provider labor and facilities cannot expand immediately, so demand may exceed supply.</w:t>
      </w:r>
    </w:p>
    <w:p>
      <w:pPr>
        <w:keepLines/>
        <w:spacing w:after="160"/>
      </w:pPr>
      <w:r>
        <w:rPr>
          <w:rFonts w:ascii="Calibri" w:hAnsi="Calibri"/>
          <w:color w:val="181D23"/>
          <w:sz w:val="21"/>
        </w:rPr>
        <w:t>The negative should compare forms of rationing honestly. Medicare-X expands affordability more gradually and can target rural and provider capacity, reducing delay without preserving the status quo's full access gap.</w:t>
      </w:r>
    </w:p>
    <w:p>
      <w:pPr>
        <w:pStyle w:val="DebateTag"/>
      </w:pPr>
      <w:r>
        <w:t>National health spending outcomes depend on payment and use, not coverage alone.</w:t>
      </w:r>
    </w:p>
    <w:p>
      <w:pPr>
        <w:pStyle w:val="EvidenceCitation"/>
      </w:pPr>
      <w:r>
        <w:t>Congressional Budget Office, How CBO Analyzes Proposals for a Single-Payer Health Care System, Working Paper 2020-08, December 2020, https://www.cbo.gov/publication/56811</w:t>
      </w:r>
    </w:p>
    <w:p>
      <w:pPr>
        <w:keepNext/>
        <w:keepLines/>
        <w:spacing w:after="100"/>
      </w:pPr>
      <w:r>
        <w:rPr>
          <w:rFonts w:ascii="Calibri" w:hAnsi="Calibri"/>
          <w:color w:val="181D23"/>
          <w:sz w:val="21"/>
        </w:rPr>
        <w:t>CBO evaluates illustrative single-payer systems rather than scoring one final enacted bill. The agency varies provider payment, cost sharing, covered benefits, and other design choices, then estimates how coverage, use, administrative spending, and total national health expenditures respond. That structure is important context: the evidence supports conditional comparisons and identifies mechanisms, but it does not claim every imaginable single-payer design produces the same fiscal result.</w:t>
      </w:r>
    </w:p>
    <w:p>
      <w:pPr>
        <w:keepNext/>
        <w:keepLines/>
        <w:spacing w:after="100"/>
      </w:pPr>
      <w:r>
        <w:rPr>
          <w:rFonts w:ascii="Calibri" w:hAnsi="Calibri"/>
          <w:b/>
          <w:color w:val="181D23"/>
          <w:sz w:val="21"/>
          <w:u w:val="single"/>
        </w:rPr>
        <w:t xml:space="preserve">CBO's illustrative systems range from substantial national savings to increased expenditures. </w:t>
      </w:r>
      <w:r>
        <w:rPr>
          <w:rFonts w:ascii="Calibri" w:hAnsi="Calibri"/>
          <w:color w:val="181D23"/>
          <w:sz w:val="21"/>
        </w:rPr>
        <w:t>Administrative and provider-payment reductions drive savings, while greater use drives costs.</w:t>
      </w:r>
    </w:p>
    <w:p>
      <w:pPr>
        <w:keepLines/>
        <w:spacing w:after="160"/>
      </w:pPr>
      <w:r>
        <w:rPr>
          <w:rFonts w:ascii="Calibri" w:hAnsi="Calibri"/>
          <w:color w:val="181D23"/>
          <w:sz w:val="21"/>
        </w:rPr>
        <w:t>The negative should attack the affirmative's specific H.R. 3069 financing and capacity assumptions rather than claim single payer always costs more. Uncertainty strengthens a gradual counterplan when the affirmative cannot resolve payment tradeoffs.</w:t>
      </w:r>
    </w:p>
    <w:p>
      <w:pPr>
        <w:pStyle w:val="DebateTag"/>
      </w:pPr>
      <w:r>
        <w:t>A public option preserves coverage choice while creating a federal benchmark.</w:t>
      </w:r>
    </w:p>
    <w:p>
      <w:pPr>
        <w:pStyle w:val="EvidenceCitation"/>
      </w:pPr>
      <w:r>
        <w:t>Congressional Budget Office, A Public Option for Health Insurance in the Nongroup Marketplaces, April 7, 2021, https://www.cbo.gov/publication/57020</w:t>
      </w:r>
    </w:p>
    <w:p>
      <w:pPr>
        <w:keepNext/>
        <w:keepLines/>
        <w:spacing w:after="100"/>
      </w:pPr>
      <w:r>
        <w:rPr>
          <w:rFonts w:ascii="Calibri" w:hAnsi="Calibri"/>
          <w:color w:val="181D23"/>
          <w:sz w:val="21"/>
        </w:rPr>
        <w:t>CBO's public-option analysis is intentionally conditional. It explains that premiums and federal budget effects depend on provider payment, utilization, administrative expense, risk adjustment, benchmark interactions, and the response of private insurers. The report therefore supplies a causal framework for evaluating Medicare-X rather than a blanket prediction that every public option must be cheaper.</w:t>
      </w:r>
    </w:p>
    <w:p>
      <w:pPr>
        <w:keepNext/>
        <w:keepLines/>
        <w:spacing w:after="100"/>
      </w:pPr>
      <w:r>
        <w:rPr>
          <w:rFonts w:ascii="Calibri" w:hAnsi="Calibri"/>
          <w:b/>
          <w:color w:val="181D23"/>
          <w:sz w:val="21"/>
          <w:u w:val="single"/>
        </w:rPr>
        <w:t xml:space="preserve">CBO describes a federal plan competing with private exchange coverage. </w:t>
      </w:r>
      <w:r>
        <w:rPr>
          <w:rFonts w:ascii="Calibri" w:hAnsi="Calibri"/>
          <w:color w:val="181D23"/>
          <w:sz w:val="21"/>
        </w:rPr>
        <w:t>Premiums vary with provider rates, administration, utilization, and market response.</w:t>
      </w:r>
    </w:p>
    <w:p>
      <w:pPr>
        <w:keepLines/>
        <w:spacing w:after="160"/>
      </w:pPr>
      <w:r>
        <w:rPr>
          <w:rFonts w:ascii="Calibri" w:hAnsi="Calibri"/>
          <w:color w:val="181D23"/>
          <w:sz w:val="21"/>
        </w:rPr>
        <w:t>The counterplan accesses public bargaining and entry without banning duplicative coverage or converting employer insurance immediately. The net benefit is lower transition and congestion risk.</w:t>
      </w:r>
    </w:p>
    <w:p>
      <w:pPr>
        <w:pStyle w:val="DebateTag"/>
      </w:pPr>
      <w:r>
        <w:t>Single-payer administration can save resources but requires a full operating conversion.</w:t>
      </w:r>
    </w:p>
    <w:p>
      <w:pPr>
        <w:pStyle w:val="EvidenceCitation"/>
      </w:pPr>
      <w:r>
        <w:t>Congressional Budget Office, Key Design Components and Considerations for Establishing a Single-Payer Health Care System, May 1, 2019, https://www.cbo.gov/publication/55150</w:t>
      </w:r>
    </w:p>
    <w:p>
      <w:pPr>
        <w:keepNext/>
        <w:keepLines/>
        <w:spacing w:after="100"/>
      </w:pPr>
      <w:r>
        <w:rPr>
          <w:rFonts w:ascii="Calibri" w:hAnsi="Calibri"/>
          <w:color w:val="181D23"/>
          <w:sz w:val="21"/>
        </w:rPr>
        <w:t>CBO's design report separates the insurance functions a single public payer would consolidate from the delivery of medical care by hospitals, physicians, and other providers. It examines administration, eligibility, benefits, payment, financing, and transition as linked policy choices. This distinction prevents the affirmative from overstating the plan as nationalization of providers; the ownership claim concerns the insurance institution and risk pool.</w:t>
      </w:r>
    </w:p>
    <w:p>
      <w:pPr>
        <w:keepNext/>
        <w:keepLines/>
        <w:spacing w:after="100"/>
      </w:pPr>
      <w:r>
        <w:rPr>
          <w:rFonts w:ascii="Calibri" w:hAnsi="Calibri"/>
          <w:b/>
          <w:color w:val="181D23"/>
          <w:sz w:val="21"/>
          <w:u w:val="single"/>
        </w:rPr>
        <w:t xml:space="preserve">CBO explains that consolidated administration removes some marketing, underwriting, profit, and billing complexity. </w:t>
      </w:r>
      <w:r>
        <w:rPr>
          <w:rFonts w:ascii="Calibri" w:hAnsi="Calibri"/>
          <w:color w:val="181D23"/>
          <w:sz w:val="21"/>
        </w:rPr>
        <w:t>It also requires national decisions on eligibility, benefits, provider payment, financing, and transition.</w:t>
      </w:r>
    </w:p>
    <w:p>
      <w:pPr>
        <w:keepLines/>
        <w:spacing w:after="160"/>
      </w:pPr>
      <w:r>
        <w:rPr>
          <w:rFonts w:ascii="Calibri" w:hAnsi="Calibri"/>
          <w:color w:val="181D23"/>
          <w:sz w:val="21"/>
        </w:rPr>
        <w:t>The negative concedes a solvency deficit: a public option retains multipayer overhead. The 2NR argues that incremental savings are outweighed by mandatory conversion risk and capacity congestion.</w:t>
      </w:r>
    </w:p>
    <w:p>
      <w:pPr>
        <w:pStyle w:val="Heading1"/>
      </w:pPr>
      <w:r>
        <w:t>Round execution</w:t>
      </w:r>
    </w:p>
    <w:p>
      <w:pPr>
        <w:pStyle w:val="ListBullet"/>
        <w:spacing w:after="80" w:line="300" w:lineRule="auto"/>
        <w:ind w:left="540" w:hanging="271"/>
      </w:pPr>
      <w:r>
        <w:rPr>
          <w:rFonts w:ascii="Calibri" w:hAnsi="Calibri"/>
          <w:color w:val="181D23"/>
          <w:sz w:val="22"/>
        </w:rPr>
        <w:t>Do not say the uninsured should remain uninsured; defend a substantial coverage counterplan.</w:t>
      </w:r>
    </w:p>
    <w:p>
      <w:pPr>
        <w:pStyle w:val="ListBullet"/>
        <w:spacing w:after="80" w:line="300" w:lineRule="auto"/>
        <w:ind w:left="540" w:hanging="271"/>
      </w:pPr>
      <w:r>
        <w:rPr>
          <w:rFonts w:ascii="Calibri" w:hAnsi="Calibri"/>
          <w:color w:val="181D23"/>
          <w:sz w:val="22"/>
        </w:rPr>
        <w:t>Win that the dispute is mandatory conversion versus public competition.</w:t>
      </w:r>
    </w:p>
    <w:p>
      <w:pPr>
        <w:pStyle w:val="ListBullet"/>
        <w:spacing w:after="80" w:line="300" w:lineRule="auto"/>
        <w:ind w:left="540" w:hanging="271"/>
      </w:pPr>
      <w:r>
        <w:rPr>
          <w:rFonts w:ascii="Calibri" w:hAnsi="Calibri"/>
          <w:color w:val="181D23"/>
          <w:sz w:val="22"/>
        </w:rPr>
        <w:t>Use CBO's conditional language to force the affirmative to defend payment rates and capacity.</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The affirmative wins coverage and administrative simplification, but must defend mandatory nationwide conversion. The negative should offer a public option plus subsidies and reinsurance, then isolate provider-capacity and transition harms.</w:t>
      </w:r>
    </w:p>
    <w:p>
      <w:r>
        <w:rPr>
          <w:rFonts w:ascii="Calibri" w:hAnsi="Calibri"/>
          <w:b/>
          <w:color w:val="1F3A5F"/>
          <w:sz w:val="22"/>
        </w:rPr>
        <w:t xml:space="preserve">1. Core 1NC: </w:t>
      </w:r>
      <w:r>
        <w:rPr>
          <w:rFonts w:ascii="Calibri" w:hAnsi="Calibri"/>
          <w:color w:val="181D23"/>
          <w:sz w:val="22"/>
        </w:rPr>
        <w:t>Medicare-X counterplan: nationwide federal option, expanded tax credits, reinsurance, and rural payment support.</w:t>
      </w:r>
    </w:p>
    <w:p>
      <w:r>
        <w:rPr>
          <w:rFonts w:ascii="Calibri" w:hAnsi="Calibri"/>
          <w:b/>
          <w:color w:val="1F3A5F"/>
          <w:sz w:val="22"/>
        </w:rPr>
        <w:t xml:space="preserve">Collapse instruction: </w:t>
      </w:r>
      <w:r>
        <w:rPr>
          <w:rFonts w:ascii="Calibri" w:hAnsi="Calibri"/>
          <w:color w:val="181D23"/>
          <w:sz w:val="22"/>
        </w:rPr>
        <w:t>Use CBO's conditional language to force the affirmative to defend payment rates and capacity.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7 — Medicare for All Case Negative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