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8 — Medicare-X Case Negative</w:t>
      </w:r>
    </w:p>
    <w:p>
      <w:pPr>
        <w:spacing w:after="240"/>
        <w:pBdr>
          <w:bottom w:val="single" w:sz="8" w:space="8" w:color="2E74B5"/>
        </w:pBdr>
      </w:pPr>
      <w:r>
        <w:rPr>
          <w:rFonts w:ascii="Calibri" w:hAnsi="Calibri"/>
          <w:i/>
          <w:color w:val="656D78"/>
          <w:sz w:val="24"/>
        </w:rPr>
        <w:t>Subsidies and reinsurance counterplan | Provider payment | Crowd-out | Topicality</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A public option is not automatically cheaper or accessible. Its effects depend on payment, risk adjustment, enrollment, and benchmark interactions. The negative should sever federal ownership from the bill's subsidy and reinsurance benefits.</w:t>
      </w:r>
    </w:p>
    <w:p>
      <w:pPr>
        <w:pStyle w:val="Heading1"/>
      </w:pPr>
      <w:r>
        <w:t>Argument outlines</w:t>
      </w:r>
    </w:p>
    <w:p>
      <w:pPr>
        <w:pStyle w:val="Heading2"/>
      </w:pPr>
      <w:r>
        <w:t>Core 1NC</w:t>
      </w:r>
    </w:p>
    <w:p>
      <w:pPr>
        <w:pStyle w:val="ListBullet"/>
        <w:spacing w:after="80" w:line="300" w:lineRule="auto"/>
        <w:ind w:left="540" w:hanging="271"/>
      </w:pPr>
      <w:r>
        <w:rPr>
          <w:rFonts w:ascii="Calibri" w:hAnsi="Calibri"/>
          <w:color w:val="181D23"/>
          <w:sz w:val="22"/>
        </w:rPr>
        <w:t>Subsidies and reinsurance counterplan: enact expanded assistance and nationwide reinsurance without the federal plan.</w:t>
      </w:r>
    </w:p>
    <w:p>
      <w:pPr>
        <w:pStyle w:val="ListBullet"/>
        <w:spacing w:after="80" w:line="300" w:lineRule="auto"/>
        <w:ind w:left="540" w:hanging="271"/>
      </w:pPr>
      <w:r>
        <w:rPr>
          <w:rFonts w:ascii="Calibri" w:hAnsi="Calibri"/>
          <w:color w:val="181D23"/>
          <w:sz w:val="22"/>
        </w:rPr>
        <w:t>Provider solvency DA: Medicare-linked rates strain rural and safety-net capacity despite adjustment authority.</w:t>
      </w:r>
    </w:p>
    <w:p>
      <w:pPr>
        <w:pStyle w:val="ListBullet"/>
        <w:spacing w:after="80" w:line="300" w:lineRule="auto"/>
        <w:ind w:left="540" w:hanging="271"/>
      </w:pPr>
      <w:r>
        <w:rPr>
          <w:rFonts w:ascii="Calibri" w:hAnsi="Calibri"/>
          <w:color w:val="181D23"/>
          <w:sz w:val="22"/>
        </w:rPr>
        <w:t>Crowd-out DA: federal pricing and network mandates displace private plans and narrow innovation.</w:t>
      </w:r>
    </w:p>
    <w:p>
      <w:pPr>
        <w:pStyle w:val="ListBullet"/>
        <w:spacing w:after="80" w:line="300" w:lineRule="auto"/>
        <w:ind w:left="540" w:hanging="271"/>
      </w:pPr>
      <w:r>
        <w:rPr>
          <w:rFonts w:ascii="Calibri" w:hAnsi="Calibri"/>
          <w:color w:val="181D23"/>
          <w:sz w:val="22"/>
        </w:rPr>
        <w:t>Topicality: one optional plan may not substantially increase public ownership of the health-insurance industry.</w:t>
      </w:r>
    </w:p>
    <w:p>
      <w:pPr>
        <w:pStyle w:val="Heading1"/>
      </w:pPr>
      <w:r>
        <w:t>Negative evidence</w:t>
      </w:r>
    </w:p>
    <w:p>
      <w:pPr>
        <w:pStyle w:val="DebateTag"/>
      </w:pPr>
      <w:r>
        <w:t>Public-option premiums may be higher or lower than private premiums.</w:t>
      </w:r>
    </w:p>
    <w:p>
      <w:pPr>
        <w:pStyle w:val="EvidenceCitation"/>
      </w:pPr>
      <w:r>
        <w:t>Congressional Budget Office, A Public Option for Health Insurance in the Nongroup Marketplaces, April 7, 2021, https://www.cbo.gov/publication/57020</w:t>
      </w:r>
    </w:p>
    <w:p>
      <w:pPr>
        <w:keepNext/>
        <w:keepLines/>
        <w:spacing w:after="100"/>
      </w:pPr>
      <w:r>
        <w:rPr>
          <w:rFonts w:ascii="Calibri" w:hAnsi="Calibri"/>
          <w:color w:val="181D23"/>
          <w:sz w:val="21"/>
        </w:rPr>
        <w:t>CBO's public-option analysis is intentionally conditional. It explains that premiums and federal budget effects depend on provider payment, utilization, administrative expense, risk adjustment, benchmark interactions, and the response of private insurers. The report therefore supplies a causal framework for evaluating Medicare-X rather than a blanket prediction that every public option must be cheaper.</w:t>
      </w:r>
    </w:p>
    <w:p>
      <w:pPr>
        <w:keepNext/>
        <w:keepLines/>
        <w:spacing w:after="100"/>
      </w:pPr>
      <w:r>
        <w:rPr>
          <w:rFonts w:ascii="Calibri" w:hAnsi="Calibri"/>
          <w:b/>
          <w:color w:val="181D23"/>
          <w:sz w:val="21"/>
          <w:u w:val="single"/>
        </w:rPr>
        <w:t xml:space="preserve">CBO identifies provider payment, enrollee utilization, risk adjustment, administrative expense, and market behavior as determinants of a public option's premium. </w:t>
      </w:r>
      <w:r>
        <w:rPr>
          <w:rFonts w:ascii="Calibri" w:hAnsi="Calibri"/>
          <w:color w:val="181D23"/>
          <w:sz w:val="21"/>
        </w:rPr>
        <w:t>Public ownership alone does not establish the result.</w:t>
      </w:r>
    </w:p>
    <w:p>
      <w:pPr>
        <w:keepLines/>
        <w:spacing w:after="160"/>
      </w:pPr>
      <w:r>
        <w:rPr>
          <w:rFonts w:ascii="Calibri" w:hAnsi="Calibri"/>
          <w:color w:val="181D23"/>
          <w:sz w:val="21"/>
        </w:rPr>
        <w:t>The negative should isolate the affirmative's assumptions about who enrolls and how providers are paid. The counterplan solves affordability directly through subsidies and high-cost reinsurance without underwriting a new federal carrier.</w:t>
      </w:r>
    </w:p>
    <w:p>
      <w:pPr>
        <w:pStyle w:val="DebateTag"/>
      </w:pPr>
      <w:r>
        <w:t>Insurance concentration is real, but subsidies do not require federal ownership.</w:t>
      </w:r>
    </w:p>
    <w:p>
      <w:pPr>
        <w:pStyle w:val="EvidenceCitation"/>
      </w:pPr>
      <w:r>
        <w:t>U.S. Government Accountability Office, Private Health Insurance: Market Concentration Generally Increased from 2011 through 2022, GAO-25-107194, November 14, 2024, https://www.gao.gov/products/gao-25-107194</w:t>
      </w:r>
    </w:p>
    <w:p>
      <w:pPr>
        <w:keepNext/>
        <w:keepLines/>
        <w:spacing w:after="100"/>
      </w:pPr>
      <w:r>
        <w:rPr>
          <w:rFonts w:ascii="Calibri" w:hAnsi="Calibri"/>
          <w:color w:val="181D23"/>
          <w:sz w:val="21"/>
        </w:rPr>
        <w:t>GAO reviewed private health-insurance enrollment across individual, small-group, and large-group markets from 2011 through 2022. Concentration measures describe the share controlled by leading insurers within states and market segments; they do not by themselves prove the size of every premium effect. The report nevertheless provides a structural baseline for asking whether consumers face enough durable competition and whether a public entrant can remain when a private carrier exits.</w:t>
      </w:r>
    </w:p>
    <w:p>
      <w:pPr>
        <w:keepNext/>
        <w:keepLines/>
        <w:spacing w:after="100"/>
      </w:pPr>
      <w:r>
        <w:rPr>
          <w:rFonts w:ascii="Calibri" w:hAnsi="Calibri"/>
          <w:b/>
          <w:color w:val="181D23"/>
          <w:sz w:val="21"/>
          <w:u w:val="single"/>
        </w:rPr>
        <w:t xml:space="preserve">GAO finds high and generally increasing concentration in individual and employer insurance markets. </w:t>
      </w:r>
      <w:r>
        <w:rPr>
          <w:rFonts w:ascii="Calibri" w:hAnsi="Calibri"/>
          <w:color w:val="181D23"/>
          <w:sz w:val="21"/>
        </w:rPr>
        <w:t>Concentration can reduce choice and increase premiums.</w:t>
      </w:r>
    </w:p>
    <w:p>
      <w:pPr>
        <w:keepLines/>
        <w:spacing w:after="160"/>
      </w:pPr>
      <w:r>
        <w:rPr>
          <w:rFonts w:ascii="Calibri" w:hAnsi="Calibri"/>
          <w:color w:val="181D23"/>
          <w:sz w:val="21"/>
        </w:rPr>
        <w:t>That evidence establishes an antitrust and competition problem, not that Medicare-X is the only remedy. Stronger antitrust enforcement, standardized plans, subsidies, and reinsurance are nonownership alternatives.</w:t>
      </w:r>
    </w:p>
    <w:p>
      <w:pPr>
        <w:pStyle w:val="DebateTag"/>
      </w:pPr>
      <w:r>
        <w:t>Medicare-X's rural adjustment concedes that uniform federal rates can threaten access.</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S. </w:t>
      </w:r>
      <w:r>
        <w:rPr>
          <w:rFonts w:ascii="Calibri" w:hAnsi="Calibri"/>
          <w:color w:val="181D23"/>
          <w:sz w:val="21"/>
        </w:rPr>
        <w:t>3369 uses Medicare-linked payment while permitting specified increases for rural providers and exceptional circumstances. The adjustment recognizes that provider cost and market conditions vary.</w:t>
      </w:r>
    </w:p>
    <w:p>
      <w:pPr>
        <w:keepLines/>
        <w:spacing w:after="160"/>
      </w:pPr>
      <w:r>
        <w:rPr>
          <w:rFonts w:ascii="Calibri" w:hAnsi="Calibri"/>
          <w:color w:val="181D23"/>
          <w:sz w:val="21"/>
        </w:rPr>
        <w:t>The negative should test whether the authorized uplift is sufficient and predictable. If providers cannot cover costs, a broad insurance card does not create appointments, beds, clinicians, or rural facilities.</w:t>
      </w:r>
    </w:p>
    <w:p>
      <w:pPr>
        <w:pStyle w:val="DebateTag"/>
      </w:pPr>
      <w:r>
        <w:t>Reinsurance targets premium volatility without operating a public plan.</w:t>
      </w:r>
    </w:p>
    <w:p>
      <w:pPr>
        <w:pStyle w:val="EvidenceCitation"/>
      </w:pPr>
      <w:r>
        <w:t>119th Congress, S. 3369, Medicare-X Choice Act, introduced December 8, 2025, https://www.congress.gov/bill/119th-congress/senate-bill/3369/text</w:t>
      </w:r>
    </w:p>
    <w:p>
      <w:pPr>
        <w:keepNext/>
        <w:keepLines/>
        <w:spacing w:after="100"/>
      </w:pPr>
      <w:r>
        <w:rPr>
          <w:rFonts w:ascii="Calibri" w:hAnsi="Calibri"/>
          <w:color w:val="181D23"/>
          <w:sz w:val="21"/>
        </w:rPr>
        <w:t>S. 3369 is a detailed public-option proposal that operates through the existing individual and small-business exchanges. The bill connects enrollment, actuarial premiums, Medicare-linked provider payment, prescription-drug purchasing, risk adjustment, rural protections, subsidies, and reinsurance. Those provisions should be read as a package because entry alone does not guarantee low premiums or adequate provider access.</w:t>
      </w:r>
    </w:p>
    <w:p>
      <w:pPr>
        <w:keepNext/>
        <w:keepLines/>
        <w:spacing w:after="100"/>
      </w:pPr>
      <w:r>
        <w:rPr>
          <w:rFonts w:ascii="Calibri" w:hAnsi="Calibri"/>
          <w:b/>
          <w:color w:val="181D23"/>
          <w:sz w:val="21"/>
          <w:u w:val="single"/>
        </w:rPr>
        <w:t xml:space="preserve">The bill separately funds nationwide reinsurance to absorb part of unusually high claims in the individual market. </w:t>
      </w:r>
      <w:r>
        <w:rPr>
          <w:rFonts w:ascii="Calibri" w:hAnsi="Calibri"/>
          <w:color w:val="181D23"/>
          <w:sz w:val="21"/>
        </w:rPr>
        <w:t>That mechanism lowers risk borne by every participating carrier.</w:t>
      </w:r>
    </w:p>
    <w:p>
      <w:pPr>
        <w:keepLines/>
        <w:spacing w:after="160"/>
      </w:pPr>
      <w:r>
        <w:rPr>
          <w:rFonts w:ascii="Calibri" w:hAnsi="Calibri"/>
          <w:color w:val="181D23"/>
          <w:sz w:val="21"/>
        </w:rPr>
        <w:t>Because reinsurance is severable from federal ownership, the counterplan can capture market stability and premium benefits. The affirmative must prove a remaining competition advantage greater than provider and crowd-out risks.</w:t>
      </w:r>
    </w:p>
    <w:p>
      <w:pPr>
        <w:pStyle w:val="Heading1"/>
      </w:pPr>
      <w:r>
        <w:t>Round execution</w:t>
      </w:r>
    </w:p>
    <w:p>
      <w:pPr>
        <w:pStyle w:val="ListBullet"/>
        <w:spacing w:after="80" w:line="300" w:lineRule="auto"/>
        <w:ind w:left="540" w:hanging="271"/>
      </w:pPr>
      <w:r>
        <w:rPr>
          <w:rFonts w:ascii="Calibri" w:hAnsi="Calibri"/>
          <w:color w:val="181D23"/>
          <w:sz w:val="22"/>
        </w:rPr>
        <w:t>Cross-ex should separate the federal plan from tax credits and reinsurance.</w:t>
      </w:r>
    </w:p>
    <w:p>
      <w:pPr>
        <w:pStyle w:val="ListBullet"/>
        <w:spacing w:after="80" w:line="300" w:lineRule="auto"/>
        <w:ind w:left="540" w:hanging="271"/>
      </w:pPr>
      <w:r>
        <w:rPr>
          <w:rFonts w:ascii="Calibri" w:hAnsi="Calibri"/>
          <w:color w:val="181D23"/>
          <w:sz w:val="22"/>
        </w:rPr>
        <w:t>The 2NR counterplan should concede some competition deficit but win lower provider and crowd-out risk.</w:t>
      </w:r>
    </w:p>
    <w:p>
      <w:pPr>
        <w:pStyle w:val="ListBullet"/>
        <w:spacing w:after="80" w:line="300" w:lineRule="auto"/>
        <w:ind w:left="540" w:hanging="271"/>
      </w:pPr>
      <w:r>
        <w:rPr>
          <w:rFonts w:ascii="Calibri" w:hAnsi="Calibri"/>
          <w:color w:val="181D23"/>
          <w:sz w:val="22"/>
        </w:rPr>
        <w:t>Topicality is strongest when projected enrollment or market share is undefined.</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A public option is not automatically cheaper or accessible. Its effects depend on payment, risk adjustment, enrollment, and benchmark interactions. The negative should sever federal ownership from the bill's subsidy and reinsurance benefits.</w:t>
      </w:r>
    </w:p>
    <w:p>
      <w:r>
        <w:rPr>
          <w:rFonts w:ascii="Calibri" w:hAnsi="Calibri"/>
          <w:b/>
          <w:color w:val="1F3A5F"/>
          <w:sz w:val="22"/>
        </w:rPr>
        <w:t xml:space="preserve">1. Core 1NC: </w:t>
      </w:r>
      <w:r>
        <w:rPr>
          <w:rFonts w:ascii="Calibri" w:hAnsi="Calibri"/>
          <w:color w:val="181D23"/>
          <w:sz w:val="22"/>
        </w:rPr>
        <w:t>Subsidies and reinsurance counterplan: enact expanded assistance and nationwide reinsurance without the federal plan.</w:t>
      </w:r>
    </w:p>
    <w:p>
      <w:r>
        <w:rPr>
          <w:rFonts w:ascii="Calibri" w:hAnsi="Calibri"/>
          <w:b/>
          <w:color w:val="1F3A5F"/>
          <w:sz w:val="22"/>
        </w:rPr>
        <w:t xml:space="preserve">Collapse instruction: </w:t>
      </w:r>
      <w:r>
        <w:rPr>
          <w:rFonts w:ascii="Calibri" w:hAnsi="Calibri"/>
          <w:color w:val="181D23"/>
          <w:sz w:val="22"/>
        </w:rPr>
        <w:t>Topicality is strongest when projected enrollment or market share is undefined.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8 — Medicare-X Case Negative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