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after="80"/>
      </w:pPr>
      <w:r>
        <w:rPr>
          <w:rFonts w:ascii="Calibri" w:hAnsi="Calibri"/>
          <w:b/>
          <w:color w:val="1F3A5F"/>
          <w:sz w:val="46"/>
        </w:rPr>
        <w:t>NEG 10 — Public Arms Case Negative</w:t>
      </w:r>
    </w:p>
    <w:p>
      <w:pPr>
        <w:spacing w:after="240"/>
        <w:pBdr>
          <w:bottom w:val="single" w:sz="8" w:space="8" w:color="2E74B5"/>
        </w:pBdr>
      </w:pPr>
      <w:r>
        <w:rPr>
          <w:rFonts w:ascii="Calibri" w:hAnsi="Calibri"/>
          <w:i/>
          <w:color w:val="656D78"/>
          <w:sz w:val="24"/>
        </w:rPr>
        <w:t>Procurement reform | GOCO | Bureaucratic lock-in | Militarism</w:t>
      </w:r>
    </w:p>
    <w:p>
      <w:r>
        <w:rPr>
          <w:rFonts w:ascii="Calibri" w:hAnsi="Calibri"/>
          <w:b/>
          <w:color w:val="1F3A5F"/>
          <w:sz w:val="22"/>
        </w:rPr>
        <w:t xml:space="preserve">Resolution: </w:t>
      </w:r>
      <w:r>
        <w:rPr>
          <w:rFonts w:ascii="Calibri" w:hAnsi="Calibri"/>
          <w:color w:val="181D23"/>
          <w:sz w:val="22"/>
        </w:rPr>
        <w:t>The United States federal government should substantially increase its public ownership of one or more of the following industries: electric utilities, health insurance, arms manufacturing, pharmaceuticals.</w:t>
      </w:r>
    </w:p>
    <w:p>
      <w:r>
        <w:rPr>
          <w:rFonts w:ascii="Calibri" w:hAnsi="Calibri"/>
          <w:b/>
          <w:color w:val="1F3A5F"/>
          <w:sz w:val="22"/>
        </w:rPr>
        <w:t xml:space="preserve">Strategic thesis: </w:t>
      </w:r>
      <w:r>
        <w:rPr>
          <w:rFonts w:ascii="Calibri" w:hAnsi="Calibri"/>
          <w:color w:val="181D23"/>
          <w:sz w:val="22"/>
        </w:rPr>
        <w:t>The affirmative correctly identifies concentrated dependence, but government requirements and program management already contribute to acquisition failure. Full-firm ownership may eliminate an external benchmark and legitimize the arsenal. A GOCO or procurement counterplan targets performance without buying entire primes.</w:t>
      </w:r>
    </w:p>
    <w:p>
      <w:pPr>
        <w:pStyle w:val="Heading1"/>
      </w:pPr>
      <w:r>
        <w:t>Argument outlines</w:t>
      </w:r>
    </w:p>
    <w:p>
      <w:pPr>
        <w:pStyle w:val="Heading2"/>
      </w:pPr>
      <w:r>
        <w:t>Core 1NC</w:t>
      </w:r>
    </w:p>
    <w:p>
      <w:pPr>
        <w:pStyle w:val="ListBullet"/>
        <w:spacing w:after="80" w:line="300" w:lineRule="auto"/>
        <w:ind w:left="540" w:hanging="271"/>
      </w:pPr>
      <w:r>
        <w:rPr>
          <w:rFonts w:ascii="Calibri" w:hAnsi="Calibri"/>
          <w:color w:val="181D23"/>
          <w:sz w:val="22"/>
        </w:rPr>
        <w:t>GOCO counterplan: own critical facilities, technical data, and surge capacity; competitively contract operation.</w:t>
      </w:r>
    </w:p>
    <w:p>
      <w:pPr>
        <w:pStyle w:val="ListBullet"/>
        <w:spacing w:after="80" w:line="300" w:lineRule="auto"/>
        <w:ind w:left="540" w:hanging="271"/>
      </w:pPr>
      <w:r>
        <w:rPr>
          <w:rFonts w:ascii="Calibri" w:hAnsi="Calibri"/>
          <w:color w:val="181D23"/>
          <w:sz w:val="22"/>
        </w:rPr>
        <w:t>Procurement reform counterplan: mature technology, modular open systems, independent testing, and real competition.</w:t>
      </w:r>
    </w:p>
    <w:p>
      <w:pPr>
        <w:pStyle w:val="ListBullet"/>
        <w:spacing w:after="80" w:line="300" w:lineRule="auto"/>
        <w:ind w:left="540" w:hanging="271"/>
      </w:pPr>
      <w:r>
        <w:rPr>
          <w:rFonts w:ascii="Calibri" w:hAnsi="Calibri"/>
          <w:color w:val="181D23"/>
          <w:sz w:val="22"/>
        </w:rPr>
        <w:t>Bureaucratic lock-in DA: combining buyer and producer protects failed programs and removes external cost benchmarks.</w:t>
      </w:r>
    </w:p>
    <w:p>
      <w:pPr>
        <w:pStyle w:val="ListBullet"/>
        <w:spacing w:after="80" w:line="300" w:lineRule="auto"/>
        <w:ind w:left="540" w:hanging="271"/>
      </w:pPr>
      <w:r>
        <w:rPr>
          <w:rFonts w:ascii="Calibri" w:hAnsi="Calibri"/>
          <w:color w:val="181D23"/>
          <w:sz w:val="22"/>
        </w:rPr>
        <w:t>Militarism K: public nonprofit status sanitizes and stabilizes weapons production.</w:t>
      </w:r>
    </w:p>
    <w:p>
      <w:pPr>
        <w:pStyle w:val="Heading1"/>
      </w:pPr>
      <w:r>
        <w:t>Negative evidence</w:t>
      </w:r>
    </w:p>
    <w:p>
      <w:pPr>
        <w:pStyle w:val="DebateTag"/>
      </w:pPr>
      <w:r>
        <w:t>Government decisions and immature technology are independent causes of acquisition failure.</w:t>
      </w:r>
    </w:p>
    <w:p>
      <w:pPr>
        <w:pStyle w:val="EvidenceCitation"/>
      </w:pPr>
      <w:r>
        <w:t>U.S. Government Accountability Office, Weapon Systems Annual Assessment 2025, GAO-25-107569, June 11, 2025, https://www.gao.gov/products/gao-25-107569</w:t>
      </w:r>
    </w:p>
    <w:p>
      <w:pPr>
        <w:keepNext/>
        <w:keepLines/>
        <w:spacing w:after="100"/>
      </w:pPr>
      <w:r>
        <w:rPr>
          <w:rFonts w:ascii="Calibri" w:hAnsi="Calibri"/>
          <w:color w:val="181D23"/>
          <w:sz w:val="21"/>
        </w:rPr>
        <w:t>GAO's annual weapon-systems assessment reviews cost, schedule, technology maturity, and product-development practice across major acquisition programs. The report evaluates both contractor and government decisions, so it does not attribute every failure to private ownership alone. It establishes the performance problem and the points at which incentives and governance must change; the affirmative's ownership advocate supplies the additional institutional link.</w:t>
      </w:r>
    </w:p>
    <w:p>
      <w:pPr>
        <w:keepNext/>
        <w:keepLines/>
        <w:spacing w:after="100"/>
      </w:pPr>
      <w:r>
        <w:rPr>
          <w:rFonts w:ascii="Calibri" w:hAnsi="Calibri"/>
          <w:b/>
          <w:color w:val="181D23"/>
          <w:sz w:val="21"/>
          <w:u w:val="single"/>
        </w:rPr>
        <w:t xml:space="preserve">GAO attributes cost growth and delay to requirements, technology maturity, program practice, and acquisition decisions across government and contractor organizations. </w:t>
      </w:r>
      <w:r>
        <w:rPr>
          <w:rFonts w:ascii="Calibri" w:hAnsi="Calibri"/>
          <w:color w:val="181D23"/>
          <w:sz w:val="21"/>
        </w:rPr>
        <w:t>Private ownership is not the only causal variable.</w:t>
      </w:r>
    </w:p>
    <w:p>
      <w:pPr>
        <w:keepLines/>
        <w:spacing w:after="160"/>
      </w:pPr>
      <w:r>
        <w:rPr>
          <w:rFonts w:ascii="Calibri" w:hAnsi="Calibri"/>
          <w:color w:val="181D23"/>
          <w:sz w:val="21"/>
        </w:rPr>
        <w:t>Full nationalization may preserve the same requirements and milestone failures while removing contract-based comparison. The counterplan directly changes testing, maturity, modularity, and termination rules.</w:t>
      </w:r>
    </w:p>
    <w:p>
      <w:pPr>
        <w:pStyle w:val="DebateTag"/>
      </w:pPr>
      <w:r>
        <w:t>Modular open systems and technical data reduce incumbent dependence without acquiring entire firms.</w:t>
      </w:r>
    </w:p>
    <w:p>
      <w:pPr>
        <w:pStyle w:val="EvidenceCitation"/>
      </w:pPr>
      <w:r>
        <w:t>U.S. Government Accountability Office, DOD Software Licenses and Modular Open Systems, GAO-25-106931, 2025, https://files.gao.gov/reports/GAO-25-106931/index.html</w:t>
      </w:r>
    </w:p>
    <w:p>
      <w:pPr>
        <w:keepNext/>
        <w:keepLines/>
        <w:spacing w:after="100"/>
      </w:pPr>
      <w:r>
        <w:rPr>
          <w:rFonts w:ascii="Calibri" w:hAnsi="Calibri"/>
          <w:color w:val="181D23"/>
          <w:sz w:val="21"/>
        </w:rPr>
        <w:t>GAO examines how modular open-system approaches, software licensing, technical data, and interface control affect the government's ability to maintain and compete future work. These tools matter across a system's life cycle because proprietary dependence can persist long after the initial production contract. The evidence supports the case's governance claim only when paired with the argument that a public owner can impose those rules across the enterprise.</w:t>
      </w:r>
    </w:p>
    <w:p>
      <w:pPr>
        <w:keepNext/>
        <w:keepLines/>
        <w:spacing w:after="100"/>
      </w:pPr>
      <w:r>
        <w:rPr>
          <w:rFonts w:ascii="Calibri" w:hAnsi="Calibri"/>
          <w:b/>
          <w:color w:val="181D23"/>
          <w:sz w:val="21"/>
          <w:u w:val="single"/>
        </w:rPr>
        <w:t xml:space="preserve">GAO identifies modular interfaces and sufficient data rights as tools for replacing components, updating software, and competing follow-on work. </w:t>
      </w:r>
      <w:r>
        <w:rPr>
          <w:rFonts w:ascii="Calibri" w:hAnsi="Calibri"/>
          <w:color w:val="181D23"/>
          <w:sz w:val="21"/>
        </w:rPr>
        <w:t>Those rights can be required contractually or owned by the government.</w:t>
      </w:r>
    </w:p>
    <w:p>
      <w:pPr>
        <w:keepLines/>
        <w:spacing w:after="160"/>
      </w:pPr>
      <w:r>
        <w:rPr>
          <w:rFonts w:ascii="Calibri" w:hAnsi="Calibri"/>
          <w:color w:val="181D23"/>
          <w:sz w:val="21"/>
        </w:rPr>
        <w:t>The GOCO counterplan acquires critical facilities and data while retaining multiple operators. It captures strategic control and surge capacity without converting every corporate function into a federal monopoly.</w:t>
      </w:r>
    </w:p>
    <w:p>
      <w:pPr>
        <w:pStyle w:val="DebateTag"/>
      </w:pPr>
      <w:r>
        <w:t>Nationalization's strongest warrant is incentive alignment, not proof that every acquisition failure disappears.</w:t>
      </w:r>
    </w:p>
    <w:p>
      <w:pPr>
        <w:pStyle w:val="EvidenceCitation"/>
      </w:pPr>
      <w:r>
        <w:t>Julia Gledhill, Recognizing Reality: A Case for Nationalizing the US Arms Industry, Stimson Center, September 2025, https://www.stimson.org/2025/recognizing-reality-a-case-for-nationalizing-the-us-arms-industry/</w:t>
      </w:r>
    </w:p>
    <w:p>
      <w:pPr>
        <w:keepNext/>
        <w:keepLines/>
        <w:spacing w:after="100"/>
      </w:pPr>
      <w:r>
        <w:rPr>
          <w:rFonts w:ascii="Calibri" w:hAnsi="Calibri"/>
          <w:color w:val="181D23"/>
          <w:sz w:val="21"/>
        </w:rPr>
        <w:t>Gledhill's proposal starts from the unusual structure of the arms industry: the federal government is the dominant customer, a small group of primes integrate major systems, and public policy already sustains strategically necessary capacity. The article treats nationalization as a governance change within that existing dependency, not as the government entering an ordinary competitive consumer market. The proposed nonprofit form is intended to preserve organizations and skilled workforces while changing residual control and corporate purpose.</w:t>
      </w:r>
    </w:p>
    <w:p>
      <w:pPr>
        <w:keepNext/>
        <w:keepLines/>
        <w:spacing w:after="100"/>
      </w:pPr>
      <w:r>
        <w:rPr>
          <w:rFonts w:ascii="Calibri" w:hAnsi="Calibri"/>
          <w:b/>
          <w:color w:val="181D23"/>
          <w:sz w:val="21"/>
          <w:u w:val="single"/>
        </w:rPr>
        <w:t xml:space="preserve">Gledhill proposes replacing shareholder ownership with Treasury compensation and public nonprofit governance. </w:t>
      </w:r>
      <w:r>
        <w:rPr>
          <w:rFonts w:ascii="Calibri" w:hAnsi="Calibri"/>
          <w:color w:val="181D23"/>
          <w:sz w:val="21"/>
        </w:rPr>
        <w:t>The mechanism removes outside shareholder return and private sales incentives.</w:t>
      </w:r>
    </w:p>
    <w:p>
      <w:pPr>
        <w:keepLines/>
        <w:spacing w:after="160"/>
      </w:pPr>
      <w:r>
        <w:rPr>
          <w:rFonts w:ascii="Calibri" w:hAnsi="Calibri"/>
          <w:color w:val="181D23"/>
          <w:sz w:val="21"/>
        </w:rPr>
        <w:t>The negative concedes that benefit but contests its magnitude. Procurement budgets and strategic demand remain political, while public managers and regions acquire incentives to protect programs and facilities.</w:t>
      </w:r>
    </w:p>
    <w:p>
      <w:pPr>
        <w:pStyle w:val="DebateTag"/>
      </w:pPr>
      <w:r>
        <w:t>Nearly twelve-year delivery timelines support reform but also prove government lock-in is already powerful.</w:t>
      </w:r>
    </w:p>
    <w:p>
      <w:pPr>
        <w:pStyle w:val="EvidenceCitation"/>
      </w:pPr>
      <w:r>
        <w:t>U.S. Government Accountability Office, Weapon Systems Annual Assessment 2025, GAO-25-107569, June 11, 2025, https://www.gao.gov/products/gao-25-107569</w:t>
      </w:r>
    </w:p>
    <w:p>
      <w:pPr>
        <w:keepNext/>
        <w:keepLines/>
        <w:spacing w:after="100"/>
      </w:pPr>
      <w:r>
        <w:rPr>
          <w:rFonts w:ascii="Calibri" w:hAnsi="Calibri"/>
          <w:color w:val="181D23"/>
          <w:sz w:val="21"/>
        </w:rPr>
        <w:t>GAO's annual weapon-systems assessment reviews cost, schedule, technology maturity, and product-development practice across major acquisition programs. The report evaluates both contractor and government decisions, so it does not attribute every failure to private ownership alone. It establishes the performance problem and the points at which incentives and governance must change; the affirmative's ownership advocate supplies the additional institutional link.</w:t>
      </w:r>
    </w:p>
    <w:p>
      <w:pPr>
        <w:keepNext/>
        <w:keepLines/>
        <w:spacing w:after="100"/>
      </w:pPr>
      <w:r>
        <w:rPr>
          <w:rFonts w:ascii="Calibri" w:hAnsi="Calibri"/>
          <w:b/>
          <w:color w:val="181D23"/>
          <w:sz w:val="21"/>
          <w:u w:val="single"/>
        </w:rPr>
        <w:t xml:space="preserve">GAO reports that average expected time to initial capability approached twelve years and that cost estimates increased across major programs. </w:t>
      </w:r>
      <w:r>
        <w:rPr>
          <w:rFonts w:ascii="Calibri" w:hAnsi="Calibri"/>
          <w:color w:val="181D23"/>
          <w:sz w:val="21"/>
        </w:rPr>
        <w:t>Cancellation becomes difficult after military dependence and sunk cost accumulate.</w:t>
      </w:r>
    </w:p>
    <w:p>
      <w:pPr>
        <w:keepLines/>
        <w:spacing w:after="160"/>
      </w:pPr>
      <w:r>
        <w:rPr>
          <w:rFonts w:ascii="Calibri" w:hAnsi="Calibri"/>
          <w:color w:val="181D23"/>
          <w:sz w:val="21"/>
        </w:rPr>
        <w:t>Combining buyer and producer can intensify that political lock-in. Independent testing, modular competition, and external operating benchmarks preserve a credible threat to replace or terminate failure.</w:t>
      </w:r>
    </w:p>
    <w:p>
      <w:pPr>
        <w:pStyle w:val="Heading1"/>
      </w:pPr>
      <w:r>
        <w:t>Round execution</w:t>
      </w:r>
    </w:p>
    <w:p>
      <w:pPr>
        <w:pStyle w:val="ListBullet"/>
        <w:spacing w:after="80" w:line="300" w:lineRule="auto"/>
        <w:ind w:left="540" w:hanging="271"/>
      </w:pPr>
      <w:r>
        <w:rPr>
          <w:rFonts w:ascii="Calibri" w:hAnsi="Calibri"/>
          <w:color w:val="181D23"/>
          <w:sz w:val="22"/>
        </w:rPr>
        <w:t>Do not defend the present contracting system unchanged.</w:t>
      </w:r>
    </w:p>
    <w:p>
      <w:pPr>
        <w:pStyle w:val="ListBullet"/>
        <w:spacing w:after="80" w:line="300" w:lineRule="auto"/>
        <w:ind w:left="540" w:hanging="271"/>
      </w:pPr>
      <w:r>
        <w:rPr>
          <w:rFonts w:ascii="Calibri" w:hAnsi="Calibri"/>
          <w:color w:val="181D23"/>
          <w:sz w:val="22"/>
        </w:rPr>
        <w:t>Win that the counterplan preserves strategic public control while retaining contestability.</w:t>
      </w:r>
    </w:p>
    <w:p>
      <w:pPr>
        <w:pStyle w:val="ListBullet"/>
        <w:spacing w:after="80" w:line="300" w:lineRule="auto"/>
        <w:ind w:left="540" w:hanging="271"/>
      </w:pPr>
      <w:r>
        <w:rPr>
          <w:rFonts w:ascii="Calibri" w:hAnsi="Calibri"/>
          <w:color w:val="181D23"/>
          <w:sz w:val="22"/>
        </w:rPr>
        <w:t>Choose either acquisition-performance offense or the militarism kritik; combining them requires a clear conditional strategy.</w:t>
      </w:r>
    </w:p>
    <w:p>
      <w:pPr>
        <w:pStyle w:val="Heading1"/>
      </w:pPr>
      <w:r>
        <w:t>Evidence and formatting note</w:t>
      </w:r>
    </w:p>
    <w:p>
      <w:pPr>
        <w:pStyle w:val="ListBullet"/>
        <w:spacing w:after="80" w:line="300" w:lineRule="auto"/>
        <w:ind w:left="540" w:hanging="271"/>
      </w:pPr>
      <w:r>
        <w:rPr>
          <w:rFonts w:ascii="Calibri" w:hAnsi="Calibri"/>
          <w:color w:val="181D23"/>
          <w:sz w:val="22"/>
        </w:rPr>
        <w:t>Each card preserves an unmarked context paragraph before the selected passage and an unmarked paragraph after it.</w:t>
      </w:r>
    </w:p>
    <w:p>
      <w:pPr>
        <w:pStyle w:val="ListBullet"/>
        <w:spacing w:after="80" w:line="300" w:lineRule="auto"/>
        <w:ind w:left="540" w:hanging="271"/>
      </w:pPr>
      <w:r>
        <w:rPr>
          <w:rFonts w:ascii="Calibri" w:hAnsi="Calibri"/>
          <w:color w:val="181D23"/>
          <w:sz w:val="22"/>
        </w:rPr>
        <w:t>Only the intended read paragraph receives selective bolding and underlining; automatic highlighting is disabled.</w:t>
      </w:r>
    </w:p>
    <w:p>
      <w:pPr>
        <w:pStyle w:val="ListBullet"/>
        <w:spacing w:after="80" w:line="300" w:lineRule="auto"/>
        <w:ind w:left="540" w:hanging="271"/>
      </w:pPr>
      <w:r>
        <w:rPr>
          <w:rFonts w:ascii="Calibri" w:hAnsi="Calibri"/>
          <w:color w:val="181D23"/>
          <w:sz w:val="22"/>
        </w:rPr>
        <w:t>Update time-sensitive uniqueness and verify the linked source before tournament use.</w:t>
      </w:r>
    </w:p>
    <w:p>
      <w:pPr>
        <w:pStyle w:val="ListBullet"/>
        <w:spacing w:after="80" w:line="300" w:lineRule="auto"/>
        <w:ind w:left="540" w:hanging="271"/>
      </w:pPr>
      <w:r>
        <w:rPr>
          <w:rFonts w:ascii="Calibri" w:hAnsi="Calibri"/>
          <w:color w:val="181D23"/>
          <w:sz w:val="22"/>
        </w:rPr>
        <w:t>Analytic shells identify strategic structure; pair them with current evidence when the opposing position contests a factual premise.</w:t>
      </w:r>
    </w:p>
    <w:p>
      <w:r>
        <w:br w:type="page"/>
      </w:r>
    </w:p>
    <w:p>
      <w:pPr>
        <w:pStyle w:val="Heading1"/>
      </w:pPr>
      <w:r>
        <w:t>Condensed 1NC / 2NR map</w:t>
      </w:r>
    </w:p>
    <w:p>
      <w:r>
        <w:rPr>
          <w:rFonts w:ascii="Calibri" w:hAnsi="Calibri"/>
          <w:b/>
          <w:color w:val="1F3A5F"/>
          <w:sz w:val="22"/>
        </w:rPr>
        <w:t xml:space="preserve">Thesis: </w:t>
      </w:r>
      <w:r>
        <w:rPr>
          <w:rFonts w:ascii="Calibri" w:hAnsi="Calibri"/>
          <w:color w:val="181D23"/>
          <w:sz w:val="22"/>
        </w:rPr>
        <w:t>The affirmative correctly identifies concentrated dependence, but government requirements and program management already contribute to acquisition failure. Full-firm ownership may eliminate an external benchmark and legitimize the arsenal. A GOCO or procurement counterplan targets performance without buying entire primes.</w:t>
      </w:r>
    </w:p>
    <w:p>
      <w:r>
        <w:rPr>
          <w:rFonts w:ascii="Calibri" w:hAnsi="Calibri"/>
          <w:b/>
          <w:color w:val="1F3A5F"/>
          <w:sz w:val="22"/>
        </w:rPr>
        <w:t xml:space="preserve">1. Core 1NC: </w:t>
      </w:r>
      <w:r>
        <w:rPr>
          <w:rFonts w:ascii="Calibri" w:hAnsi="Calibri"/>
          <w:color w:val="181D23"/>
          <w:sz w:val="22"/>
        </w:rPr>
        <w:t>GOCO counterplan: own critical facilities, technical data, and surge capacity; competitively contract operation.</w:t>
      </w:r>
    </w:p>
    <w:p>
      <w:r>
        <w:rPr>
          <w:rFonts w:ascii="Calibri" w:hAnsi="Calibri"/>
          <w:b/>
          <w:color w:val="1F3A5F"/>
          <w:sz w:val="22"/>
        </w:rPr>
        <w:t xml:space="preserve">Collapse instruction: </w:t>
      </w:r>
      <w:r>
        <w:rPr>
          <w:rFonts w:ascii="Calibri" w:hAnsi="Calibri"/>
          <w:color w:val="181D23"/>
          <w:sz w:val="22"/>
        </w:rPr>
        <w:t>Choose either acquisition-performance offense or the militarism kritik; combining them requires a clear conditional strategy.</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56D78"/>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Calibri" w:hAnsi="Calibri"/>
        <w:b/>
        <w:color w:val="656D78"/>
        <w:sz w:val="18"/>
      </w:rPr>
      <w:t>NEG 10 — Public Arms Case Negative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81D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bateTag">
    <w:name w:val="Debate Tag"/>
    <w:pPr>
      <w:keepNext/>
      <w:spacing w:before="180" w:after="60"/>
    </w:pPr>
    <w:rPr>
      <w:rFonts w:ascii="Calibri" w:hAnsi="Calibri"/>
      <w:b/>
      <w:color w:val="1F3A5F"/>
      <w:sz w:val="26"/>
    </w:rPr>
  </w:style>
  <w:style w:type="paragraph" w:customStyle="1" w:styleId="EvidenceCitation">
    <w:name w:val="Evidence Citation"/>
    <w:pPr>
      <w:keepNext/>
      <w:spacing w:after="80"/>
    </w:pPr>
    <w:rPr>
      <w:rFonts w:ascii="Calibri" w:hAnsi="Calibri"/>
      <w:i/>
      <w:color w:val="656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