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9 — Public Pharmaceuticals Case Negative</w:t>
      </w:r>
    </w:p>
    <w:p>
      <w:pPr>
        <w:spacing w:after="240"/>
        <w:pBdr>
          <w:bottom w:val="single" w:sz="8" w:space="8" w:color="2E74B5"/>
        </w:pBdr>
      </w:pPr>
      <w:r>
        <w:rPr>
          <w:rFonts w:ascii="Calibri" w:hAnsi="Calibri"/>
          <w:i/>
          <w:color w:val="656D78"/>
          <w:sz w:val="24"/>
        </w:rPr>
        <w:t>Quality capacity | Advance-purchase counterplan | Licensing | Innovation limits</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affirmative identifies a genuine shortage problem but ownership does not waive validation, ingredient, technology, or workforce constraints. The negative should target those bottlenecks with purchasing, quality incentives, stockpiles, and licensing.</w:t>
      </w:r>
    </w:p>
    <w:p>
      <w:pPr>
        <w:pStyle w:val="Heading1"/>
      </w:pPr>
      <w:r>
        <w:t>Argument outlines</w:t>
      </w:r>
    </w:p>
    <w:p>
      <w:pPr>
        <w:pStyle w:val="Heading2"/>
      </w:pPr>
      <w:r>
        <w:t>Core 1NC</w:t>
      </w:r>
    </w:p>
    <w:p>
      <w:pPr>
        <w:pStyle w:val="ListBullet"/>
        <w:spacing w:after="80" w:line="300" w:lineRule="auto"/>
        <w:ind w:left="540" w:hanging="271"/>
      </w:pPr>
      <w:r>
        <w:rPr>
          <w:rFonts w:ascii="Calibri" w:hAnsi="Calibri"/>
          <w:color w:val="181D23"/>
          <w:sz w:val="22"/>
        </w:rPr>
        <w:t>Targeted procurement counterplan: advance-purchase commitments, quality bonuses, API grants, and shortage stockpiles.</w:t>
      </w:r>
    </w:p>
    <w:p>
      <w:pPr>
        <w:pStyle w:val="ListBullet"/>
        <w:spacing w:after="80" w:line="300" w:lineRule="auto"/>
        <w:ind w:left="540" w:hanging="271"/>
      </w:pPr>
      <w:r>
        <w:rPr>
          <w:rFonts w:ascii="Calibri" w:hAnsi="Calibri"/>
          <w:color w:val="181D23"/>
          <w:sz w:val="22"/>
        </w:rPr>
        <w:t>Quality transition DA: public lines must still build, validate, inspect, and source ingredients before production.</w:t>
      </w:r>
    </w:p>
    <w:p>
      <w:pPr>
        <w:pStyle w:val="ListBullet"/>
        <w:spacing w:after="80" w:line="300" w:lineRule="auto"/>
        <w:ind w:left="540" w:hanging="271"/>
      </w:pPr>
      <w:r>
        <w:rPr>
          <w:rFonts w:ascii="Calibri" w:hAnsi="Calibri"/>
          <w:color w:val="181D23"/>
          <w:sz w:val="22"/>
        </w:rPr>
        <w:t>Compulsory-license counterplan for patent-driven price cases.</w:t>
      </w:r>
    </w:p>
    <w:p>
      <w:pPr>
        <w:pStyle w:val="ListBullet"/>
        <w:spacing w:after="80" w:line="300" w:lineRule="auto"/>
        <w:ind w:left="540" w:hanging="271"/>
      </w:pPr>
      <w:r>
        <w:rPr>
          <w:rFonts w:ascii="Calibri" w:hAnsi="Calibri"/>
          <w:color w:val="181D23"/>
          <w:sz w:val="22"/>
        </w:rPr>
        <w:t>Innovation turn against expansion beyond mature generics and APIs.</w:t>
      </w:r>
    </w:p>
    <w:p>
      <w:pPr>
        <w:pStyle w:val="Heading1"/>
      </w:pPr>
      <w:r>
        <w:t>Negative evidence</w:t>
      </w:r>
    </w:p>
    <w:p>
      <w:pPr>
        <w:pStyle w:val="DebateTag"/>
      </w:pPr>
      <w:r>
        <w:t>Quality failures and capacity constraints—not legal authority alone—drive shortages.</w:t>
      </w:r>
    </w:p>
    <w:p>
      <w:pPr>
        <w:pStyle w:val="EvidenceCitation"/>
      </w:pPr>
      <w:r>
        <w:t>U.S. Government Accountability Office, Drug Shortages, GAO-25-107110, April 9, 2025, https://www.gao.gov/products/gao-25-107110</w:t>
      </w:r>
    </w:p>
    <w:p>
      <w:pPr>
        <w:keepNext/>
        <w:keepLines/>
        <w:spacing w:after="100"/>
      </w:pPr>
      <w:r>
        <w:rPr>
          <w:rFonts w:ascii="Calibri" w:hAnsi="Calibri"/>
          <w:color w:val="181D23"/>
          <w:sz w:val="21"/>
        </w:rPr>
        <w:t>GAO examined persistent drug shortages by reviewing federal actions and the manufacturing conditions that limit supply. The report distinguishes immediate regulatory mitigation from underlying economic, quality, capital, technology, and ingredient constraints. That distinction matters because the affirmative does not claim ownership eliminates FDA requirements; it claims public capacity and purchasing can address investment failures that regulatory flexibility alone cannot cure.</w:t>
      </w:r>
    </w:p>
    <w:p>
      <w:pPr>
        <w:keepNext/>
        <w:keepLines/>
        <w:spacing w:after="100"/>
      </w:pPr>
      <w:r>
        <w:rPr>
          <w:rFonts w:ascii="Calibri" w:hAnsi="Calibri"/>
          <w:b/>
          <w:color w:val="181D23"/>
          <w:sz w:val="21"/>
          <w:u w:val="single"/>
        </w:rPr>
        <w:t xml:space="preserve">GAO identifies manufacturing quality failures as a primary shortage cause and describes capital, technology, ingredient, and expansion barriers. </w:t>
      </w:r>
      <w:r>
        <w:rPr>
          <w:rFonts w:ascii="Calibri" w:hAnsi="Calibri"/>
          <w:color w:val="181D23"/>
          <w:sz w:val="21"/>
        </w:rPr>
        <w:t>FDA cannot instantly create qualified supply.</w:t>
      </w:r>
    </w:p>
    <w:p>
      <w:pPr>
        <w:keepLines/>
        <w:spacing w:after="160"/>
      </w:pPr>
      <w:r>
        <w:rPr>
          <w:rFonts w:ascii="Calibri" w:hAnsi="Calibri"/>
          <w:color w:val="181D23"/>
          <w:sz w:val="21"/>
        </w:rPr>
        <w:t>A public office faces the same validation and workforce timeline. The counterplan pays existing and new qualified suppliers for redundancy and quality, producing faster capacity without a federal manufacturing bureaucracy.</w:t>
      </w:r>
    </w:p>
    <w:p>
      <w:pPr>
        <w:pStyle w:val="DebateTag"/>
      </w:pPr>
      <w:r>
        <w:t>Additional qualified competitors lower prices, regardless of ownership.</w:t>
      </w:r>
    </w:p>
    <w:p>
      <w:pPr>
        <w:pStyle w:val="EvidenceCitation"/>
      </w:pPr>
      <w:r>
        <w:t>U.S. Food and Drug Administration, Generic Drug Facts, updated 2026, https://www.fda.gov/drugs/generic-drugs/generic-drug-facts</w:t>
      </w:r>
    </w:p>
    <w:p>
      <w:pPr>
        <w:keepNext/>
        <w:keepLines/>
        <w:spacing w:after="100"/>
      </w:pPr>
      <w:r>
        <w:rPr>
          <w:rFonts w:ascii="Calibri" w:hAnsi="Calibri"/>
          <w:color w:val="181D23"/>
          <w:sz w:val="21"/>
        </w:rPr>
        <w:t>FDA explains that approved generic drugs must satisfy the same applicable standards for identity, strength, quality, purity, and performance as their reference products. The agency separately studies how the number of suppliers affects price and availability. This background is essential because the affirmative's affordability claim depends on additional qualified competition, not on relaxing manufacturing or approval standards.</w:t>
      </w:r>
    </w:p>
    <w:p>
      <w:pPr>
        <w:keepNext/>
        <w:keepLines/>
        <w:spacing w:after="100"/>
      </w:pPr>
      <w:r>
        <w:rPr>
          <w:rFonts w:ascii="Calibri" w:hAnsi="Calibri"/>
          <w:b/>
          <w:color w:val="181D23"/>
          <w:sz w:val="21"/>
          <w:u w:val="single"/>
        </w:rPr>
        <w:t xml:space="preserve">FDA reports large price reductions as the number of generic competitors increases. </w:t>
      </w:r>
      <w:r>
        <w:rPr>
          <w:rFonts w:ascii="Calibri" w:hAnsi="Calibri"/>
          <w:color w:val="181D23"/>
          <w:sz w:val="21"/>
        </w:rPr>
        <w:t>The mechanism is qualified entry and competition.</w:t>
      </w:r>
    </w:p>
    <w:p>
      <w:pPr>
        <w:keepLines/>
        <w:spacing w:after="160"/>
      </w:pPr>
      <w:r>
        <w:rPr>
          <w:rFonts w:ascii="Calibri" w:hAnsi="Calibri"/>
          <w:color w:val="181D23"/>
          <w:sz w:val="21"/>
        </w:rPr>
        <w:t>The negative counterplan induces multiple suppliers rather than one public producer. Redundant private and nonprofit entrants may produce greater resilience because a failure at one facility does not disable the fallback manufacturer.</w:t>
      </w:r>
    </w:p>
    <w:p>
      <w:pPr>
        <w:pStyle w:val="DebateTag"/>
      </w:pPr>
      <w:r>
        <w:t>Public manufacturing must still comply with FDA quality and bioequivalence requirements.</w:t>
      </w:r>
    </w:p>
    <w:p>
      <w:pPr>
        <w:pStyle w:val="EvidenceCitation"/>
      </w:pPr>
      <w:r>
        <w:t>U.S. Food and Drug Administration, Overview and Basics: Generic Drugs, https://www.fda.gov/drugs/generic-drugs/overview-basics</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FDA requires generic products to match relevant active ingredient, strength, dosage form, route, performance, and quality standards. </w:t>
      </w:r>
      <w:r>
        <w:rPr>
          <w:rFonts w:ascii="Calibri" w:hAnsi="Calibri"/>
          <w:color w:val="181D23"/>
          <w:sz w:val="21"/>
        </w:rPr>
        <w:t>Manufacturing sites remain subject to inspection.</w:t>
      </w:r>
    </w:p>
    <w:p>
      <w:pPr>
        <w:keepLines/>
        <w:spacing w:after="160"/>
      </w:pPr>
      <w:r>
        <w:rPr>
          <w:rFonts w:ascii="Calibri" w:hAnsi="Calibri"/>
          <w:color w:val="181D23"/>
          <w:sz w:val="21"/>
        </w:rPr>
        <w:t>Those protections are necessary but create a solvency delay. The affirmative must provide a credible sequence from office creation to validated API and finished-dose production before claiming immediate shortage relief.</w:t>
      </w:r>
    </w:p>
    <w:p>
      <w:pPr>
        <w:pStyle w:val="DebateTag"/>
      </w:pPr>
      <w:r>
        <w:t>H.R. 6607 uses procurement commitments because manufacturing ownership alone does not finance capacity.</w:t>
      </w:r>
    </w:p>
    <w:p>
      <w:pPr>
        <w:pStyle w:val="EvidenceCitation"/>
      </w:pPr>
      <w:r>
        <w:t>118th Congress, H.R. 6607, Affordable Drug Manufacturing Act of 2023, introduced December 5, 2023, https://www.congress.gov/bill/118th-congress/house-bill/6607/text</w:t>
      </w:r>
    </w:p>
    <w:p>
      <w:pPr>
        <w:keepNext/>
        <w:keepLines/>
        <w:spacing w:after="100"/>
      </w:pPr>
      <w:r>
        <w:rPr>
          <w:rFonts w:ascii="Calibri" w:hAnsi="Calibri"/>
          <w:color w:val="181D23"/>
          <w:sz w:val="21"/>
        </w:rPr>
        <w:t>H.R. 6607 creates a federal manufacturing office focused on drugs and active ingredients where competition, price, or supply is inadequate. The proposal retains FDA safety and quality oversight and specifies priorities, purchasing relationships, pricing, and contracting authority. Its design is narrower than public ownership of the entire pharmaceutical sector: the office serves as a durable producer and competitor in defined market-failure conditions.</w:t>
      </w:r>
    </w:p>
    <w:p>
      <w:pPr>
        <w:keepNext/>
        <w:keepLines/>
        <w:spacing w:after="100"/>
      </w:pPr>
      <w:r>
        <w:rPr>
          <w:rFonts w:ascii="Calibri" w:hAnsi="Calibri"/>
          <w:b/>
          <w:color w:val="181D23"/>
          <w:sz w:val="21"/>
          <w:u w:val="single"/>
        </w:rPr>
        <w:t xml:space="preserve">The bill includes federal purchasing relationships, contracting authority, prioritization, and public production. </w:t>
      </w:r>
      <w:r>
        <w:rPr>
          <w:rFonts w:ascii="Calibri" w:hAnsi="Calibri"/>
          <w:color w:val="181D23"/>
          <w:sz w:val="21"/>
        </w:rPr>
        <w:t>Those distinct mechanisms support predictable demand and qualified capacity.</w:t>
      </w:r>
    </w:p>
    <w:p>
      <w:pPr>
        <w:keepLines/>
        <w:spacing w:after="160"/>
      </w:pPr>
      <w:r>
        <w:rPr>
          <w:rFonts w:ascii="Calibri" w:hAnsi="Calibri"/>
          <w:color w:val="181D23"/>
          <w:sz w:val="21"/>
        </w:rPr>
        <w:t>The counterplan severs procurement from ownership. If advance commitments and quality incentives induce redundant supply, the affirmative's remaining ownership benefit is small while transition and state-capture risks remain.</w:t>
      </w:r>
    </w:p>
    <w:p>
      <w:pPr>
        <w:pStyle w:val="Heading1"/>
      </w:pPr>
      <w:r>
        <w:t>Round execution</w:t>
      </w:r>
    </w:p>
    <w:p>
      <w:pPr>
        <w:pStyle w:val="ListBullet"/>
        <w:spacing w:after="80" w:line="300" w:lineRule="auto"/>
        <w:ind w:left="540" w:hanging="271"/>
      </w:pPr>
      <w:r>
        <w:rPr>
          <w:rFonts w:ascii="Calibri" w:hAnsi="Calibri"/>
          <w:color w:val="181D23"/>
          <w:sz w:val="22"/>
        </w:rPr>
        <w:t>Concede that some markets fail; contest which bottleneck ownership solves.</w:t>
      </w:r>
    </w:p>
    <w:p>
      <w:pPr>
        <w:pStyle w:val="ListBullet"/>
        <w:spacing w:after="80" w:line="300" w:lineRule="auto"/>
        <w:ind w:left="540" w:hanging="271"/>
      </w:pPr>
      <w:r>
        <w:rPr>
          <w:rFonts w:ascii="Calibri" w:hAnsi="Calibri"/>
          <w:color w:val="181D23"/>
          <w:sz w:val="22"/>
        </w:rPr>
        <w:t>Distinguish off-patent shortage cases from patented monopoly-price cases.</w:t>
      </w:r>
    </w:p>
    <w:p>
      <w:pPr>
        <w:pStyle w:val="ListBullet"/>
        <w:spacing w:after="80" w:line="300" w:lineRule="auto"/>
        <w:ind w:left="540" w:hanging="271"/>
      </w:pPr>
      <w:r>
        <w:rPr>
          <w:rFonts w:ascii="Calibri" w:hAnsi="Calibri"/>
          <w:color w:val="181D23"/>
          <w:sz w:val="22"/>
        </w:rPr>
        <w:t>The 2NR should be procurement plus quality transition, not a generic innovation claim.</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affirmative identifies a genuine shortage problem but ownership does not waive validation, ingredient, technology, or workforce constraints. The negative should target those bottlenecks with purchasing, quality incentives, stockpiles, and licensing.</w:t>
      </w:r>
    </w:p>
    <w:p>
      <w:r>
        <w:rPr>
          <w:rFonts w:ascii="Calibri" w:hAnsi="Calibri"/>
          <w:b/>
          <w:color w:val="1F3A5F"/>
          <w:sz w:val="22"/>
        </w:rPr>
        <w:t xml:space="preserve">1. Core 1NC: </w:t>
      </w:r>
      <w:r>
        <w:rPr>
          <w:rFonts w:ascii="Calibri" w:hAnsi="Calibri"/>
          <w:color w:val="181D23"/>
          <w:sz w:val="22"/>
        </w:rPr>
        <w:t>Targeted procurement counterplan: advance-purchase commitments, quality bonuses, API grants, and shortage stockpiles.</w:t>
      </w:r>
    </w:p>
    <w:p>
      <w:r>
        <w:rPr>
          <w:rFonts w:ascii="Calibri" w:hAnsi="Calibri"/>
          <w:b/>
          <w:color w:val="1F3A5F"/>
          <w:sz w:val="22"/>
        </w:rPr>
        <w:t xml:space="preserve">Collapse instruction: </w:t>
      </w:r>
      <w:r>
        <w:rPr>
          <w:rFonts w:ascii="Calibri" w:hAnsi="Calibri"/>
          <w:color w:val="181D23"/>
          <w:sz w:val="22"/>
        </w:rPr>
        <w:t>The 2NR should be procurement plus quality transition, not a generic innovation claim.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9 — Public Pharmaceuticals Case Negative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