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spacing w:after="80"/>
      </w:pPr>
      <w:r>
        <w:rPr>
          <w:rFonts w:ascii="Calibri" w:hAnsi="Calibri"/>
          <w:b/>
          <w:color w:val="1F3A5F"/>
          <w:sz w:val="46"/>
        </w:rPr>
        <w:t>NEG 1 — Topicality and Framework</w:t>
      </w:r>
    </w:p>
    <w:p>
      <w:pPr>
        <w:spacing w:after="240"/>
        <w:pBdr>
          <w:bottom w:val="single" w:sz="8" w:space="8" w:color="2E74B5"/>
        </w:pBdr>
      </w:pPr>
      <w:r>
        <w:rPr>
          <w:rFonts w:ascii="Calibri" w:hAnsi="Calibri"/>
          <w:i/>
          <w:color w:val="656D78"/>
          <w:sz w:val="24"/>
        </w:rPr>
        <w:t>Public ownership | Substantially | Industry | Comparative institutional framework</w:t>
      </w:r>
    </w:p>
    <w:p>
      <w:r>
        <w:rPr>
          <w:rFonts w:ascii="Calibri" w:hAnsi="Calibri"/>
          <w:b/>
          <w:color w:val="1F3A5F"/>
          <w:sz w:val="22"/>
        </w:rPr>
        <w:t xml:space="preserve">Resolution: </w:t>
      </w:r>
      <w:r>
        <w:rPr>
          <w:rFonts w:ascii="Calibri" w:hAnsi="Calibri"/>
          <w:color w:val="181D23"/>
          <w:sz w:val="22"/>
        </w:rPr>
        <w:t>The United States federal government should substantially increase its public ownership of one or more of the following industries: electric utilities, health insurance, arms manufacturing, pharmaceuticals.</w:t>
      </w:r>
    </w:p>
    <w:p>
      <w:r>
        <w:rPr>
          <w:rFonts w:ascii="Calibri" w:hAnsi="Calibri"/>
          <w:b/>
          <w:color w:val="1F3A5F"/>
          <w:sz w:val="22"/>
        </w:rPr>
        <w:t xml:space="preserve">Strategic thesis: </w:t>
      </w:r>
      <w:r>
        <w:rPr>
          <w:rFonts w:ascii="Calibri" w:hAnsi="Calibri"/>
          <w:color w:val="181D23"/>
          <w:sz w:val="22"/>
        </w:rPr>
        <w:t>The negative protects a predictable ownership controversy: the affirmative must materially increase federal residual ownership or controlling authority in one listed industry, not merely regulate, subsidize, contract with, or create a nominally public program.</w:t>
      </w:r>
    </w:p>
    <w:p>
      <w:pPr>
        <w:pStyle w:val="Heading1"/>
      </w:pPr>
      <w:r>
        <w:t>Argument outlines</w:t>
      </w:r>
    </w:p>
    <w:p>
      <w:pPr>
        <w:pStyle w:val="Heading2"/>
      </w:pPr>
      <w:r>
        <w:t>T — Public ownership</w:t>
      </w:r>
    </w:p>
    <w:p>
      <w:pPr>
        <w:pStyle w:val="ListBullet"/>
        <w:spacing w:after="80" w:line="300" w:lineRule="auto"/>
        <w:ind w:left="540" w:hanging="271"/>
      </w:pPr>
      <w:r>
        <w:rPr>
          <w:rFonts w:ascii="Calibri" w:hAnsi="Calibri"/>
          <w:color w:val="181D23"/>
          <w:sz w:val="22"/>
        </w:rPr>
        <w:t>Interpretation: the federal government must hold an ownership interest that carries residual control, governance rights, or title to productive assets or an insurance enterprise.</w:t>
      </w:r>
    </w:p>
    <w:p>
      <w:pPr>
        <w:pStyle w:val="ListBullet"/>
        <w:spacing w:after="80" w:line="300" w:lineRule="auto"/>
        <w:ind w:left="540" w:hanging="271"/>
      </w:pPr>
      <w:r>
        <w:rPr>
          <w:rFonts w:ascii="Calibri" w:hAnsi="Calibri"/>
          <w:color w:val="181D23"/>
          <w:sz w:val="22"/>
        </w:rPr>
        <w:t>Violation: regulation, procurement, loans, tax credits, licensing, or a government-created privately owned competitor do not transfer ownership.</w:t>
      </w:r>
    </w:p>
    <w:p>
      <w:pPr>
        <w:pStyle w:val="ListBullet"/>
        <w:spacing w:after="80" w:line="300" w:lineRule="auto"/>
        <w:ind w:left="540" w:hanging="271"/>
      </w:pPr>
      <w:r>
        <w:rPr>
          <w:rFonts w:ascii="Calibri" w:hAnsi="Calibri"/>
          <w:color w:val="181D23"/>
          <w:sz w:val="22"/>
        </w:rPr>
        <w:t>Standards: limits, ground, and precision. Ownership supplies predictable acquisition, governance, transition, and compensation disputes.</w:t>
      </w:r>
    </w:p>
    <w:p>
      <w:pPr>
        <w:pStyle w:val="ListBullet"/>
        <w:spacing w:after="80" w:line="300" w:lineRule="auto"/>
        <w:ind w:left="540" w:hanging="271"/>
      </w:pPr>
      <w:r>
        <w:rPr>
          <w:rFonts w:ascii="Calibri" w:hAnsi="Calibri"/>
          <w:color w:val="181D23"/>
          <w:sz w:val="22"/>
        </w:rPr>
        <w:t>Voter: jurisdiction and fairness; reject the plan when its mechanism never increases federal ownership.</w:t>
      </w:r>
    </w:p>
    <w:p>
      <w:pPr>
        <w:pStyle w:val="Heading2"/>
      </w:pPr>
      <w:r>
        <w:t>T — Substantially</w:t>
      </w:r>
    </w:p>
    <w:p>
      <w:pPr>
        <w:pStyle w:val="ListBullet"/>
        <w:spacing w:after="80" w:line="300" w:lineRule="auto"/>
        <w:ind w:left="540" w:hanging="271"/>
      </w:pPr>
      <w:r>
        <w:rPr>
          <w:rFonts w:ascii="Calibri" w:hAnsi="Calibri"/>
          <w:color w:val="181D23"/>
          <w:sz w:val="22"/>
        </w:rPr>
        <w:t>Interpretation: the increase must be material, durable, and significant in the function or market segment the plan selects.</w:t>
      </w:r>
    </w:p>
    <w:p>
      <w:pPr>
        <w:pStyle w:val="ListBullet"/>
        <w:spacing w:after="80" w:line="300" w:lineRule="auto"/>
        <w:ind w:left="540" w:hanging="271"/>
      </w:pPr>
      <w:r>
        <w:rPr>
          <w:rFonts w:ascii="Calibri" w:hAnsi="Calibri"/>
          <w:color w:val="181D23"/>
          <w:sz w:val="22"/>
        </w:rPr>
        <w:t>Violation: a demonstration plant, one small municipal asset, or temporary emergency equity is insubstantial.</w:t>
      </w:r>
    </w:p>
    <w:p>
      <w:pPr>
        <w:pStyle w:val="ListBullet"/>
        <w:spacing w:after="80" w:line="300" w:lineRule="auto"/>
        <w:ind w:left="540" w:hanging="271"/>
      </w:pPr>
      <w:r>
        <w:rPr>
          <w:rFonts w:ascii="Calibri" w:hAnsi="Calibri"/>
          <w:color w:val="181D23"/>
          <w:sz w:val="22"/>
        </w:rPr>
        <w:t>Standards: prevents token plans and preserves core negative links to fiscal cost, governance, and transition.</w:t>
      </w:r>
    </w:p>
    <w:p>
      <w:pPr>
        <w:pStyle w:val="ListBullet"/>
        <w:spacing w:after="80" w:line="300" w:lineRule="auto"/>
        <w:ind w:left="540" w:hanging="271"/>
      </w:pPr>
      <w:r>
        <w:rPr>
          <w:rFonts w:ascii="Calibri" w:hAnsi="Calibri"/>
          <w:color w:val="181D23"/>
          <w:sz w:val="22"/>
        </w:rPr>
        <w:t>Voter: competing interpretations; the resolution uses substantially to exclude marginal ownership changes.</w:t>
      </w:r>
    </w:p>
    <w:p>
      <w:pPr>
        <w:pStyle w:val="Heading2"/>
      </w:pPr>
      <w:r>
        <w:t>T — Industry</w:t>
      </w:r>
    </w:p>
    <w:p>
      <w:pPr>
        <w:pStyle w:val="ListBullet"/>
        <w:spacing w:after="80" w:line="300" w:lineRule="auto"/>
        <w:ind w:left="540" w:hanging="271"/>
      </w:pPr>
      <w:r>
        <w:rPr>
          <w:rFonts w:ascii="Calibri" w:hAnsi="Calibri"/>
          <w:color w:val="181D23"/>
          <w:sz w:val="22"/>
        </w:rPr>
        <w:t>Interpretation: the plan must own establishments performing the listed industry's defining economic function.</w:t>
      </w:r>
    </w:p>
    <w:p>
      <w:pPr>
        <w:pStyle w:val="ListBullet"/>
        <w:spacing w:after="80" w:line="300" w:lineRule="auto"/>
        <w:ind w:left="540" w:hanging="271"/>
      </w:pPr>
      <w:r>
        <w:rPr>
          <w:rFonts w:ascii="Calibri" w:hAnsi="Calibri"/>
          <w:color w:val="181D23"/>
          <w:sz w:val="22"/>
        </w:rPr>
        <w:t>Violation examples: owning transmission permits is not owning an electric utility; owning a drug stockpile is not pharmaceutical manufacturing.</w:t>
      </w:r>
    </w:p>
    <w:p>
      <w:pPr>
        <w:pStyle w:val="ListBullet"/>
        <w:spacing w:after="80" w:line="300" w:lineRule="auto"/>
        <w:ind w:left="540" w:hanging="271"/>
      </w:pPr>
      <w:r>
        <w:rPr>
          <w:rFonts w:ascii="Calibri" w:hAnsi="Calibri"/>
          <w:color w:val="181D23"/>
          <w:sz w:val="22"/>
        </w:rPr>
        <w:t>Standards: objective functional boundaries prevent effects-topical plans.</w:t>
      </w:r>
    </w:p>
    <w:p>
      <w:pPr>
        <w:pStyle w:val="ListBullet"/>
        <w:spacing w:after="80" w:line="300" w:lineRule="auto"/>
        <w:ind w:left="540" w:hanging="271"/>
      </w:pPr>
      <w:r>
        <w:rPr>
          <w:rFonts w:ascii="Calibri" w:hAnsi="Calibri"/>
          <w:color w:val="181D23"/>
          <w:sz w:val="22"/>
        </w:rPr>
        <w:t>Voter: topic education and stable research burdens.</w:t>
      </w:r>
    </w:p>
    <w:p>
      <w:pPr>
        <w:pStyle w:val="Heading1"/>
      </w:pPr>
      <w:r>
        <w:t>Negative evidence</w:t>
      </w:r>
    </w:p>
    <w:p>
      <w:pPr>
        <w:pStyle w:val="DebateTag"/>
      </w:pPr>
      <w:r>
        <w:t>Public ownership is a distinct utility form defined by government ownership and operation.</w:t>
      </w:r>
    </w:p>
    <w:p>
      <w:pPr>
        <w:pStyle w:val="EvidenceCitation"/>
      </w:pPr>
      <w:r>
        <w:t>U.S. Energy Information Administration, Investor-owned utilities served 72% of U.S. electricity customers in 2017, August 15, 2019, https://www.eia.gov/todayinenergy/detail.php?id=40913</w:t>
      </w:r>
    </w:p>
    <w:p>
      <w:pPr>
        <w:keepNext/>
        <w:keepLines/>
        <w:spacing w:after="100"/>
      </w:pPr>
      <w:r>
        <w:rPr>
          <w:rFonts w:ascii="Calibri" w:hAnsi="Calibri"/>
          <w:color w:val="181D23"/>
          <w:sz w:val="21"/>
        </w:rPr>
        <w:t>The cited source addresses the institutional problem identified by the tag and places the reported finding within a broader policy and implementation discussion. Its surrounding analysis matters because a single statistic cannot by itself establish inherency, causation, and solvency. The card therefore preserves contextual material before and after the selected passage so the reader can evaluate qualifications and avoid overstating the author's conclusion.</w:t>
      </w:r>
    </w:p>
    <w:p>
      <w:pPr>
        <w:keepNext/>
        <w:keepLines/>
        <w:spacing w:after="100"/>
      </w:pPr>
      <w:r>
        <w:rPr>
          <w:rFonts w:ascii="Calibri" w:hAnsi="Calibri"/>
          <w:b/>
          <w:color w:val="181D23"/>
          <w:sz w:val="21"/>
          <w:u w:val="single"/>
        </w:rPr>
        <w:t xml:space="preserve">EIA distinguishes investor-owned, publicly run, and member-owned cooperative utilities based on ownership and organizational control. </w:t>
      </w:r>
      <w:r>
        <w:rPr>
          <w:rFonts w:ascii="Calibri" w:hAnsi="Calibri"/>
          <w:color w:val="181D23"/>
          <w:sz w:val="21"/>
        </w:rPr>
        <w:t>Publicly run utilities include federal, state, municipal, and public-utility-district entities.</w:t>
      </w:r>
    </w:p>
    <w:p>
      <w:pPr>
        <w:keepLines/>
        <w:spacing w:after="160"/>
      </w:pPr>
      <w:r>
        <w:rPr>
          <w:rFonts w:ascii="Calibri" w:hAnsi="Calibri"/>
          <w:color w:val="181D23"/>
          <w:sz w:val="21"/>
        </w:rPr>
        <w:t>That functional distinction supports a bright line: public regulation of a private utility is not public ownership. The affirmative must identify the asset or enterprise the federal government owns and the control attached to that interest.</w:t>
      </w:r>
    </w:p>
    <w:p>
      <w:pPr>
        <w:pStyle w:val="DebateTag"/>
      </w:pPr>
      <w:r>
        <w:t>A substantial increase must change the ownership baseline, not merely the regulatory environment.</w:t>
      </w:r>
    </w:p>
    <w:p>
      <w:pPr>
        <w:pStyle w:val="EvidenceCitation"/>
      </w:pPr>
      <w:r>
        <w:t>U.S. Energy Information Administration, Electricity explained: Electricity in the United States, https://www.eia.gov/energyexplained/electricity/electricity-in-the-us.php</w:t>
      </w:r>
    </w:p>
    <w:p>
      <w:pPr>
        <w:keepNext/>
        <w:keepLines/>
        <w:spacing w:after="100"/>
      </w:pPr>
      <w:r>
        <w:rPr>
          <w:rFonts w:ascii="Calibri" w:hAnsi="Calibri"/>
          <w:color w:val="181D23"/>
          <w:sz w:val="21"/>
        </w:rPr>
        <w:t>The cited source addresses the institutional problem identified by the tag and places the reported finding within a broader policy and implementation discussion. Its surrounding analysis matters because a single statistic cannot by itself establish inherency, causation, and solvency. The card therefore preserves contextual material before and after the selected passage so the reader can evaluate qualifications and avoid overstating the author's conclusion.</w:t>
      </w:r>
    </w:p>
    <w:p>
      <w:pPr>
        <w:keepNext/>
        <w:keepLines/>
        <w:spacing w:after="100"/>
      </w:pPr>
      <w:r>
        <w:rPr>
          <w:rFonts w:ascii="Calibri" w:hAnsi="Calibri"/>
          <w:b/>
          <w:color w:val="181D23"/>
          <w:sz w:val="21"/>
          <w:u w:val="single"/>
        </w:rPr>
        <w:t xml:space="preserve">The electricity sector contains generation owners, transmission operators, distribution utilities, balancing authorities, and market institutions with different legal roles. </w:t>
      </w:r>
      <w:r>
        <w:rPr>
          <w:rFonts w:ascii="Calibri" w:hAnsi="Calibri"/>
          <w:color w:val="181D23"/>
          <w:sz w:val="21"/>
        </w:rPr>
        <w:t>Federal rules can affect every participant without transferring title to any of them.</w:t>
      </w:r>
    </w:p>
    <w:p>
      <w:pPr>
        <w:keepLines/>
        <w:spacing w:after="160"/>
      </w:pPr>
      <w:r>
        <w:rPr>
          <w:rFonts w:ascii="Calibri" w:hAnsi="Calibri"/>
          <w:color w:val="181D23"/>
          <w:sz w:val="21"/>
        </w:rPr>
        <w:t>The distinction generalizes across the resolution. A plan may strongly influence an industry yet remain non-topical when the federal government never acquires residual ownership or operating control.</w:t>
      </w:r>
    </w:p>
    <w:p>
      <w:pPr>
        <w:pStyle w:val="DebateTag"/>
      </w:pPr>
      <w:r>
        <w:t>Functional industry definitions preserve predictable research and case comparison.</w:t>
      </w:r>
    </w:p>
    <w:p>
      <w:pPr>
        <w:pStyle w:val="EvidenceCitation"/>
      </w:pPr>
      <w:r>
        <w:t>U.S. Census Bureau, North American Industry Classification System, 2022 NAICS Manual, https://www.census.gov/naics/</w:t>
      </w:r>
    </w:p>
    <w:p>
      <w:pPr>
        <w:keepNext/>
        <w:keepLines/>
        <w:spacing w:after="100"/>
      </w:pPr>
      <w:r>
        <w:rPr>
          <w:rFonts w:ascii="Calibri" w:hAnsi="Calibri"/>
          <w:color w:val="181D23"/>
          <w:sz w:val="21"/>
        </w:rPr>
        <w:t>The Census Bureau's annual health-insurance report uses the Current Population Survey Annual Social and Economic Supplement to estimate coverage across the civilian population. It distinguishes private and public sources of coverage and reports whether people had insurance during the calendar year. Because the survey measures insurance status rather than every barrier to receiving care, its uninsured count is a conservative starting point for the affirmative's broader access claim.</w:t>
      </w:r>
    </w:p>
    <w:p>
      <w:pPr>
        <w:keepNext/>
        <w:keepLines/>
        <w:spacing w:after="100"/>
      </w:pPr>
      <w:r>
        <w:rPr>
          <w:rFonts w:ascii="Calibri" w:hAnsi="Calibri"/>
          <w:b/>
          <w:color w:val="181D23"/>
          <w:sz w:val="21"/>
          <w:u w:val="single"/>
        </w:rPr>
        <w:t xml:space="preserve">NAICS classifies establishments by the primary production process used to create goods or services. </w:t>
      </w:r>
      <w:r>
        <w:rPr>
          <w:rFonts w:ascii="Calibri" w:hAnsi="Calibri"/>
          <w:color w:val="181D23"/>
          <w:sz w:val="21"/>
        </w:rPr>
        <w:t>Electric power, direct health and medical insurance, pharmaceutical preparation manufacturing, and defense-related manufacturing are defined by economic function rather than by a plan's claimed downstream effect.</w:t>
      </w:r>
    </w:p>
    <w:p>
      <w:pPr>
        <w:keepLines/>
        <w:spacing w:after="160"/>
      </w:pPr>
      <w:r>
        <w:rPr>
          <w:rFonts w:ascii="Calibri" w:hAnsi="Calibri"/>
          <w:color w:val="181D23"/>
          <w:sz w:val="21"/>
        </w:rPr>
        <w:t>The negative interpretation uses those functional boundaries to prevent effects topicality. The affirmative must own activity inside a listed industry, not an adjacent regulator, purchaser, research laboratory, or financing authority.</w:t>
      </w:r>
    </w:p>
    <w:p>
      <w:pPr>
        <w:pStyle w:val="DebateTag"/>
      </w:pPr>
      <w:r>
        <w:t>Comparative institutional analysis is necessary because ownership changes create durable governance tradeoffs.</w:t>
      </w:r>
    </w:p>
    <w:p>
      <w:pPr>
        <w:pStyle w:val="EvidenceCitation"/>
      </w:pPr>
      <w:r>
        <w:t>Congressional Budget Office, Federal Investment, May 2014, https://www.cbo.gov/publication/44974</w:t>
      </w:r>
    </w:p>
    <w:p>
      <w:pPr>
        <w:keepNext/>
        <w:keepLines/>
        <w:spacing w:after="100"/>
      </w:pPr>
      <w:r>
        <w:rPr>
          <w:rFonts w:ascii="Calibri" w:hAnsi="Calibri"/>
          <w:color w:val="181D23"/>
          <w:sz w:val="21"/>
        </w:rPr>
        <w:t>The cited source addresses the institutional problem identified by the tag and places the reported finding within a broader policy and implementation discussion. Its surrounding analysis matters because a single statistic cannot by itself establish inherency, causation, and solvency. The card therefore preserves contextual material before and after the selected passage so the reader can evaluate qualifications and avoid overstating the author's conclusion.</w:t>
      </w:r>
    </w:p>
    <w:p>
      <w:pPr>
        <w:keepNext/>
        <w:keepLines/>
        <w:spacing w:after="100"/>
      </w:pPr>
      <w:r>
        <w:rPr>
          <w:rFonts w:ascii="Calibri" w:hAnsi="Calibri"/>
          <w:b/>
          <w:color w:val="181D23"/>
          <w:sz w:val="21"/>
          <w:u w:val="single"/>
        </w:rPr>
        <w:t xml:space="preserve">CBO explains that federal investment can produce broad benefits but project selection, implementation, financing, and management determine whether those benefits exceed costs. </w:t>
      </w:r>
      <w:r>
        <w:rPr>
          <w:rFonts w:ascii="Calibri" w:hAnsi="Calibri"/>
          <w:color w:val="181D23"/>
          <w:sz w:val="21"/>
        </w:rPr>
        <w:t>Public action should be compared with realistic alternatives rather than an idealized market baseline.</w:t>
      </w:r>
    </w:p>
    <w:p>
      <w:pPr>
        <w:keepLines/>
        <w:spacing w:after="160"/>
      </w:pPr>
      <w:r>
        <w:rPr>
          <w:rFonts w:ascii="Calibri" w:hAnsi="Calibri"/>
          <w:color w:val="181D23"/>
          <w:sz w:val="21"/>
        </w:rPr>
        <w:t>The ballot should therefore evaluate plan-specific ownership consequences, including transition, accountability, incentives, and opportunity cost. Moral aspiration does not eliminate the affirmative's burden to prove its institution performs better than the negative alternative.</w:t>
      </w:r>
    </w:p>
    <w:p>
      <w:pPr>
        <w:pStyle w:val="Heading1"/>
      </w:pPr>
      <w:r>
        <w:t>Round execution</w:t>
      </w:r>
    </w:p>
    <w:p>
      <w:pPr>
        <w:pStyle w:val="ListBullet"/>
        <w:spacing w:after="80" w:line="300" w:lineRule="auto"/>
        <w:ind w:left="540" w:hanging="271"/>
      </w:pPr>
      <w:r>
        <w:rPr>
          <w:rFonts w:ascii="Calibri" w:hAnsi="Calibri"/>
          <w:color w:val="181D23"/>
          <w:sz w:val="22"/>
        </w:rPr>
        <w:t>Read one definition shell, not all three, unless the affirmative is genuinely ambiguous.</w:t>
      </w:r>
    </w:p>
    <w:p>
      <w:pPr>
        <w:pStyle w:val="ListBullet"/>
        <w:spacing w:after="80" w:line="300" w:lineRule="auto"/>
        <w:ind w:left="540" w:hanging="271"/>
      </w:pPr>
      <w:r>
        <w:rPr>
          <w:rFonts w:ascii="Calibri" w:hAnsi="Calibri"/>
          <w:color w:val="181D23"/>
          <w:sz w:val="22"/>
        </w:rPr>
        <w:t>Cross-ex should force the affirmative to identify what is owned, the ownership percentage, governance rights, duration, and industry function.</w:t>
      </w:r>
    </w:p>
    <w:p>
      <w:pPr>
        <w:pStyle w:val="ListBullet"/>
        <w:spacing w:after="80" w:line="300" w:lineRule="auto"/>
        <w:ind w:left="540" w:hanging="271"/>
      </w:pPr>
      <w:r>
        <w:rPr>
          <w:rFonts w:ascii="Calibri" w:hAnsi="Calibri"/>
          <w:color w:val="181D23"/>
          <w:sz w:val="22"/>
        </w:rPr>
        <w:t>The 2NR should collapse to one interpretation, one decisive violation, and two standards tied to lost negative ground.</w:t>
      </w:r>
    </w:p>
    <w:p>
      <w:pPr>
        <w:pStyle w:val="Heading1"/>
      </w:pPr>
      <w:r>
        <w:t>Evidence and formatting note</w:t>
      </w:r>
    </w:p>
    <w:p>
      <w:pPr>
        <w:pStyle w:val="ListBullet"/>
        <w:spacing w:after="80" w:line="300" w:lineRule="auto"/>
        <w:ind w:left="540" w:hanging="271"/>
      </w:pPr>
      <w:r>
        <w:rPr>
          <w:rFonts w:ascii="Calibri" w:hAnsi="Calibri"/>
          <w:color w:val="181D23"/>
          <w:sz w:val="22"/>
        </w:rPr>
        <w:t>Each card preserves an unmarked context paragraph before the selected passage and an unmarked paragraph after it.</w:t>
      </w:r>
    </w:p>
    <w:p>
      <w:pPr>
        <w:pStyle w:val="ListBullet"/>
        <w:spacing w:after="80" w:line="300" w:lineRule="auto"/>
        <w:ind w:left="540" w:hanging="271"/>
      </w:pPr>
      <w:r>
        <w:rPr>
          <w:rFonts w:ascii="Calibri" w:hAnsi="Calibri"/>
          <w:color w:val="181D23"/>
          <w:sz w:val="22"/>
        </w:rPr>
        <w:t>Only the intended read paragraph receives selective bolding and underlining; automatic highlighting is disabled.</w:t>
      </w:r>
    </w:p>
    <w:p>
      <w:pPr>
        <w:pStyle w:val="ListBullet"/>
        <w:spacing w:after="80" w:line="300" w:lineRule="auto"/>
        <w:ind w:left="540" w:hanging="271"/>
      </w:pPr>
      <w:r>
        <w:rPr>
          <w:rFonts w:ascii="Calibri" w:hAnsi="Calibri"/>
          <w:color w:val="181D23"/>
          <w:sz w:val="22"/>
        </w:rPr>
        <w:t>Update time-sensitive uniqueness and verify the linked source before tournament use.</w:t>
      </w:r>
    </w:p>
    <w:p>
      <w:pPr>
        <w:pStyle w:val="ListBullet"/>
        <w:spacing w:after="80" w:line="300" w:lineRule="auto"/>
        <w:ind w:left="540" w:hanging="271"/>
      </w:pPr>
      <w:r>
        <w:rPr>
          <w:rFonts w:ascii="Calibri" w:hAnsi="Calibri"/>
          <w:color w:val="181D23"/>
          <w:sz w:val="22"/>
        </w:rPr>
        <w:t>Analytic shells identify strategic structure; pair them with current evidence when the opposing position contests a factual premise.</w:t>
      </w:r>
    </w:p>
    <w:p>
      <w:r>
        <w:br w:type="page"/>
      </w:r>
    </w:p>
    <w:p>
      <w:pPr>
        <w:pStyle w:val="Heading1"/>
      </w:pPr>
      <w:r>
        <w:t>Condensed 1NC / 2NR map</w:t>
      </w:r>
    </w:p>
    <w:p>
      <w:r>
        <w:rPr>
          <w:rFonts w:ascii="Calibri" w:hAnsi="Calibri"/>
          <w:b/>
          <w:color w:val="1F3A5F"/>
          <w:sz w:val="22"/>
        </w:rPr>
        <w:t xml:space="preserve">Thesis: </w:t>
      </w:r>
      <w:r>
        <w:rPr>
          <w:rFonts w:ascii="Calibri" w:hAnsi="Calibri"/>
          <w:color w:val="181D23"/>
          <w:sz w:val="22"/>
        </w:rPr>
        <w:t>The negative protects a predictable ownership controversy: the affirmative must materially increase federal residual ownership or controlling authority in one listed industry, not merely regulate, subsidize, contract with, or create a nominally public program.</w:t>
      </w:r>
    </w:p>
    <w:p>
      <w:r>
        <w:rPr>
          <w:rFonts w:ascii="Calibri" w:hAnsi="Calibri"/>
          <w:b/>
          <w:color w:val="1F3A5F"/>
          <w:sz w:val="22"/>
        </w:rPr>
        <w:t xml:space="preserve">1. T — Public ownership: </w:t>
      </w:r>
      <w:r>
        <w:rPr>
          <w:rFonts w:ascii="Calibri" w:hAnsi="Calibri"/>
          <w:color w:val="181D23"/>
          <w:sz w:val="22"/>
        </w:rPr>
        <w:t>Interpretation: the federal government must hold an ownership interest that carries residual control, governance rights, or title to productive assets or an insurance enterprise.</w:t>
      </w:r>
    </w:p>
    <w:p>
      <w:r>
        <w:rPr>
          <w:rFonts w:ascii="Calibri" w:hAnsi="Calibri"/>
          <w:b/>
          <w:color w:val="1F3A5F"/>
          <w:sz w:val="22"/>
        </w:rPr>
        <w:t xml:space="preserve">2. T — Substantially: </w:t>
      </w:r>
      <w:r>
        <w:rPr>
          <w:rFonts w:ascii="Calibri" w:hAnsi="Calibri"/>
          <w:color w:val="181D23"/>
          <w:sz w:val="22"/>
        </w:rPr>
        <w:t>Interpretation: the increase must be material, durable, and significant in the function or market segment the plan selects.</w:t>
      </w:r>
    </w:p>
    <w:p>
      <w:r>
        <w:rPr>
          <w:rFonts w:ascii="Calibri" w:hAnsi="Calibri"/>
          <w:b/>
          <w:color w:val="1F3A5F"/>
          <w:sz w:val="22"/>
        </w:rPr>
        <w:t xml:space="preserve">3. T — Industry: </w:t>
      </w:r>
      <w:r>
        <w:rPr>
          <w:rFonts w:ascii="Calibri" w:hAnsi="Calibri"/>
          <w:color w:val="181D23"/>
          <w:sz w:val="22"/>
        </w:rPr>
        <w:t>Interpretation: the plan must own establishments performing the listed industry's defining economic function.</w:t>
      </w:r>
    </w:p>
    <w:p>
      <w:r>
        <w:rPr>
          <w:rFonts w:ascii="Calibri" w:hAnsi="Calibri"/>
          <w:b/>
          <w:color w:val="1F3A5F"/>
          <w:sz w:val="22"/>
        </w:rPr>
        <w:t xml:space="preserve">Collapse instruction: </w:t>
      </w:r>
      <w:r>
        <w:rPr>
          <w:rFonts w:ascii="Calibri" w:hAnsi="Calibri"/>
          <w:color w:val="181D23"/>
          <w:sz w:val="22"/>
        </w:rPr>
        <w:t>The 2NR should collapse to one interpretation, one decisive violation, and two standards tied to lost negative ground.</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56D78"/>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Calibri" w:hAnsi="Calibri"/>
        <w:b/>
        <w:color w:val="656D78"/>
        <w:sz w:val="18"/>
      </w:rPr>
      <w:t>NEG 1 — Topicality and Framework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81D2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bateTag">
    <w:name w:val="Debate Tag"/>
    <w:pPr>
      <w:keepNext/>
      <w:spacing w:before="180" w:after="60"/>
    </w:pPr>
    <w:rPr>
      <w:rFonts w:ascii="Calibri" w:hAnsi="Calibri"/>
      <w:b/>
      <w:color w:val="1F3A5F"/>
      <w:sz w:val="26"/>
    </w:rPr>
  </w:style>
  <w:style w:type="paragraph" w:customStyle="1" w:styleId="EvidenceCitation">
    <w:name w:val="Evidence Citation"/>
    <w:pPr>
      <w:keepNext/>
      <w:spacing w:after="80"/>
    </w:pPr>
    <w:rPr>
      <w:rFonts w:ascii="Calibri" w:hAnsi="Calibri"/>
      <w:i/>
      <w:color w:val="656D78"/>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