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ns0:document xmlns:ns0="http://schemas.openxmlformats.org/wordprocessingml/2006/main" xmlns:ns1="http://schemas.openxmlformats.org/markup-compatibility/2006" xmlns:ns2="http://schemas.openxmlformats.org/officeDocument/2006/relationships" ns1:Ignorable="w14 wp14">
  <ns0:body>
    <ns0:p>
      <ns0:pPr>
        <ns0:pStyle ns0:val="Heading1"/>
        <ns0:keepNext/>
        <ns0:spacing ns0:after="80"/>
      </ns0:pPr>
      <ns0:r>
        <ns0:rPr>
          <ns0:rFonts ns0:ascii="Calibri" ns0:hAnsi="Calibri"/>
          <ns0:b/>
          <ns0:color ns0:val="1F3A5F"/>
          <ns0:sz ns0:val="46"/>
        </ns0:rPr>
        <ns0:t>AFF 5 — Public Nonprofit Arms Manufacturing</ns0:t>
      </ns0:r>
    </ns0:p>
    <ns0:p>
      <ns0:pPr>
        <ns0:spacing ns0:after="240"/>
        <ns0:pBdr>
          <ns0:bottom ns0:val="single" ns0:sz="8" ns0:space="8" ns0:color="2E74B5"/>
        </ns0:pBdr>
      </ns0:pPr>
      <ns0:r>
        <ns0:rPr>
          <ns0:rFonts ns0:ascii="Calibri" ns0:hAnsi="Calibri"/>
          <ns0:i/>
          <ns0:color ns0:val="656D78"/>
          <ns0:sz ns0:val="24"/>
        </ns0:rPr>
        <ns0:t>Tournament 1AC | Arms manufacturing | Federal nonprofit defense primes</ns0:t>
      </ns0:r>
    </ns0:p>
    <ns0:p>
      <ns0:r>
        <ns0:rPr>
          <ns0:rFonts ns0:ascii="Calibri" ns0:hAnsi="Calibri"/>
          <ns0:b/>
          <ns0:color ns0:val="1F3A5F"/>
          <ns0:sz ns0:val="22"/>
        </ns0:rPr>
        <ns0:t xml:space="preserve">Resolution: </ns0:t>
      </ns0:r>
      <ns0:r>
        <ns0:rPr>
          <ns0:rFonts ns0:ascii="Calibri" ns0:hAnsi="Calibri"/>
          <ns0:color ns0:val="181D23"/>
          <ns0:sz ns0:val="22"/>
        </ns0:rPr>
        <ns0:t>The United States federal government should substantially increase its public ownership of one or more of the following industries: electric utilities, health insurance, arms manufacturing, pharmaceuticals.</ns0:t>
      </ns0:r>
    </ns0:p>
    <ns0:p>
      <ns0:r>
        <ns0:rPr>
          <ns0:rFonts ns0:ascii="Calibri" ns0:hAnsi="Calibri"/>
          <ns0:b/>
          <ns0:color ns0:val="1F3A5F"/>
          <ns0:sz ns0:val="22"/>
        </ns0:rPr>
        <ns0:t xml:space="preserve">Framework: </ns0:t>
      </ns0:r>
      <ns0:r>
        <ns0:rPr>
          <ns0:rFonts ns0:ascii="Calibri" ns0:hAnsi="Calibri"/>
          <ns0:color ns0:val="181D23"/>
          <ns0:sz ns0:val="22"/>
        </ns0:rPr>
        <ns0:t>Value: democratic peace. Criterion: subordinate weapons production to publicly accountable strategy, reliability, and life-cycle cost rather than private sales growth.</ns0:t>
      </ns0:r>
    </ns0:p>
    <ns0:p>
      <ns0:pPr>
        <ns0:pStyle ns0:val="Heading1"/>
      </ns0:pPr>
      <ns0:r>
        <ns0:t>Plan</ns0:t>
      </ns0:r>
    </ns0:p>
    <ns0:p>
      <ns0:r>
        <ns0:rPr>
          <ns0:rFonts ns0:ascii="Calibri" ns0:hAnsi="Calibri"/>
          <ns0:b/>
          <ns0:color ns0:val="1F3A5F"/>
          <ns0:sz ns0:val="22"/>
        </ns0:rPr>
        <ns0:t xml:space="preserve">Plan text: </ns0:t>
      </ns0:r>
      <ns0:r>
        <ns0:rPr>
          <ns0:rFonts ns0:ascii="Calibri" ns0:hAnsi="Calibri"/>
          <ns0:color ns0:val="181D23"/>
          <ns0:sz ns0:val="22"/>
        </ns0:rPr>
        <ns0:t>The United States federal government should acquire controlling ownership of the five largest United States arms manufacturers by defense revenue and charter them as federally owned nonprofit corporations.</ns0:t>
      </ns0:r>
    </ns0:p>
    <ns0:p>
      <ns0:r>
        <ns0:t>The affirmative reserves normal means. All implementation mechanics below are solvency evidence and explanation, not additional plan mandates.</ns0:t>
      </ns0:r>
    </ns0:p>
    <ns0:p>
      <ns0:pPr>
        <ns0:pStyle ns0:val="Heading1"/>
      </ns0:pPr>
      <ns0:r>
        <ns0:t>1AC reading order</ns0:t>
      </ns0:r>
    </ns0:p>
    <ns0:p>
      <ns0:pPr>
        <ns0:pStyle ns0:val="ListBullet"/>
        <ns0:spacing ns0:after="80" ns0:line="300" ns0:lineRule="auto"/>
        <ns0:ind ns0:left="540" ns0:hanging="271"/>
      </ns0:pPr>
      <ns0:r>
        <ns0:rPr>
          <ns0:rFonts ns0:ascii="Calibri" ns0:hAnsi="Calibri"/>
          <ns0:color ns0:val="181D23"/>
          <ns0:sz ns0:val="22"/>
        </ns0:rPr>
        <ns0:t>Inherency — concentrated private primes combine weak competition with shareholder incentives.</ns0:t>
      </ns0:r>
    </ns0:p>
    <ns0:p>
      <ns0:pPr>
        <ns0:pStyle ns0:val="ListBullet"/>
        <ns0:spacing ns0:after="80" ns0:line="300" ns0:lineRule="auto"/>
        <ns0:ind ns0:left="540" ns0:hanging="271"/>
      </ns0:pPr>
      <ns0:r>
        <ns0:rPr>
          <ns0:rFonts ns0:ascii="Calibri" ns0:hAnsi="Calibri"/>
          <ns0:color ns0:val="181D23"/>
          <ns0:sz ns0:val="22"/>
        </ns0:rPr>
        <ns0:t>Solvency — a contemporary advocate supplies acquisition, compensation, and nonprofit governance mechanics.</ns0:t>
      </ns0:r>
    </ns0:p>
    <ns0:p>
      <ns0:pPr>
        <ns0:pStyle ns0:val="ListBullet"/>
        <ns0:spacing ns0:after="80" ns0:line="300" ns0:lineRule="auto"/>
        <ns0:ind ns0:left="540" ns0:hanging="271"/>
      </ns0:pPr>
      <ns0:r>
        <ns0:rPr>
          <ns0:rFonts ns0:ascii="Calibri" ns0:hAnsi="Calibri"/>
          <ns0:color ns0:val="181D23"/>
          <ns0:sz ns0:val="22"/>
        </ns0:rPr>
        <ns0:t>Advantage 1 — Acquisition performance and readiness.</ns0:t>
      </ns0:r>
    </ns0:p>
    <ns0:p>
      <ns0:pPr>
        <ns0:pStyle ns0:val="ListBullet"/>
        <ns0:spacing ns0:after="80" ns0:line="300" ns0:lineRule="auto"/>
        <ns0:ind ns0:left="540" ns0:hanging="271"/>
      </ns0:pPr>
      <ns0:r>
        <ns0:rPr>
          <ns0:rFonts ns0:ascii="Calibri" ns0:hAnsi="Calibri"/>
          <ns0:color ns0:val="181D23"/>
          <ns0:sz ns0:val="22"/>
        </ns0:rPr>
        <ns0:t>Advantage 2 — Democratic foreign-policy control.</ns0:t>
      </ns0:r>
    </ns0:p>
    <ns0:p>
      <ns0:pPr>
        <ns0:pStyle ns0:val="Heading1"/>
      </ns0:pPr>
      <ns0:r>
        <ns0:t>Framework analytics</ns0:t>
      </ns0:r>
    </ns0:p>
    <ns0:p>
      <ns0:r>
        <ns0:rPr>
          <ns0:rFonts ns0:ascii="Calibri" ns0:hAnsi="Calibri"/>
          <ns0:b/>
          <ns0:color ns0:val="1F3A5F"/>
          <ns0:sz ns0:val="22"/>
        </ns0:rPr>
        <ns0:t xml:space="preserve">Interpretation: </ns0:t>
      </ns0:r>
      <ns0:r>
        <ns0:rPr>
          <ns0:rFonts ns0:ascii="Calibri" ns0:hAnsi="Calibri"/>
          <ns0:color ns0:val="181D23"/>
          <ns0:sz ns0:val="22"/>
        </ns0:rPr>
        <ns0:t>Controlling ownership means the federal government holds the governance rights and residual control necessary to appoint boards, set mission, and retain earnings. The case changes ownership, not merely contract terms.</ns0:t>
      </ns0:r>
    </ns0:p>
    <ns0:p>
      <ns0:r>
        <ns0:rPr>
          <ns0:rFonts ns0:ascii="Calibri" ns0:hAnsi="Calibri"/>
          <ns0:b/>
          <ns0:color ns0:val="1F3A5F"/>
          <ns0:sz ns0:val="22"/>
        </ns0:rPr>
        <ns0:t xml:space="preserve">Limitation: </ns0:t>
      </ns0:r>
      <ns0:r>
        <ns0:rPr>
          <ns0:rFonts ns0:ascii="Calibri" ns0:hAnsi="Calibri"/>
          <ns0:color ns0:val="181D23"/>
          <ns0:sz ns0:val="22"/>
        </ns0:rPr>
        <ns0:t>The affirmative does not claim public weapons are inherently peaceful. It claims severing shareholder return from weapons demand removes a distinct structural pressure and improves democratic control.</ns0:t>
      </ns0:r>
    </ns0:p>
    <ns0:p>
      <ns0:pPr>
        <ns0:pStyle ns0:val="Heading1"/>
      </ns0:pPr>
      <ns0:r>
        <ns0:t>1AC evidence</ns0:t>
      </ns0:r>
    </ns0:p>
    <ns0:p>
      <ns0:pPr>
        <ns0:pStyle ns0:val="DebateTag"/>
      </ns0:pPr>
      <ns0:r>
        <ns0:t>Stimson describes partial share acquisition as an available policy mechanism.</ns0:t>
      </ns0:r>
    </ns0:p>
    <ns0:p>
      <ns0:pPr>
        <ns0:pStyle ns0:val="EvidenceCitation"/>
      </ns0:pPr>
      <ns0:r>
        <ns0:t>Julia Gledhill, “Recognizing Reality: A Case for Nationalizing the US Arms Industry,” Stimson Center, September 15, 2025, https://www.stimson.org/2025/recognizing-reality-a-case-for-nationalizing-the-us-arms-industry/</ns0:t>
      </ns0:r>
    </ns0:p>
    <ns0:p>
      <ns0:pPr>
        <ns0:keepNext/>
        <ns0:keepLines/>
        <ns0:spacing ns0:after="100"/>
      </ns0:pPr>
      <ns0:r>
        <ns0:rPr>
          <ns0:rFonts ns0:ascii="Calibri" ns0:hAnsi="Calibri"/>
          <ns0:color ns0:val="181D23"/>
          <ns0:sz ns0:val="21"/>
        </ns0:rPr>
        <ns0:t>Claim (card analysis): Stimson argues the government could take a partial ownership stake in arms firms.</ns0:t>
      </ns0:r>
    </ns0:p>
    <ns0:p>
      <ns0:pPr>
        <ns0:keepNext/>
        <ns0:keepLines/>
        <ns0:spacing ns0:after="100"/>
      </ns0:pPr>
      <ns0:r>
        <ns0:rPr>
          <ns0:rFonts ns0:ascii="Calibri" ns0:hAnsi="Calibri"/>
          <ns0:b/>
          <ns0:color ns0:val="181D23"/>
          <ns0:sz ns0:val="21"/>
          <ns0:u ns0:val="single"/>
        </ns0:rPr>
        <ns0:t xml:space="preserve">Source excerpt (verbatim): “Partial nationalization, on the other hand, can be achieved through the purchase of some — or even most — shares in a company.”</ns0:t>
      </ns0:r>
      <ns0:r>
        <ns0:rPr>
          <ns0:rFonts ns0:ascii="Calibri" ns0:hAnsi="Calibri"/>
          <ns0:color ns0:val="181D23"/>
          <ns0:sz ns0:val="21"/>
        </ns0:rPr>
        <ns0:t/>
      </ns0:r>
    </ns0:p>
    <ns0:p>
      <ns0:pPr>
        <ns0:keepLines/>
        <ns0:spacing ns0:after="160"/>
      </ns0:pPr>
      <ns0:r>
        <ns0:rPr>
          <ns0:rFonts ns0:ascii="Calibri" ns0:hAnsi="Calibri"/>
          <ns0:color ns0:val="181D23"/>
          <ns0:sz ns0:val="21"/>
        </ns0:rPr>
        <ns0:t>A2 analysis and scope: This supports share acquisition as an advocated design, not the reported 51% stakes in five companies. Stimson gives no list or exact percentage here and reports no ownership outcome.</ns0:t>
      </ns0:r>
    </ns0:p>
    <ns0:p>
      <ns0:pPr>
        <ns0:pStyle ns0:val="DebateTag"/>
      </ns0:pPr>
      <ns0:r>
        <ns0:t>The existing system produces major cost growth and nearly twelve-year timelines.</ns0:t>
      </ns0:r>
    </ns0:p>
    <ns0:p>
      <ns0:pPr>
        <ns0:pStyle ns0:val="EvidenceCitation"/>
      </ns0:pPr>
      <ns0:r>
        <ns0:t>U.S. Government Accountability Office, Weapon Systems Annual Assessment 2025, GAO-25-107569, June 11, 2025, https://www.gao.gov/products/gao-25-107569</ns0:t>
      </ns0:r>
    </ns0:p>
    <ns0:p>
      <ns0:pPr>
        <ns0:keepNext/>
        <ns0:keepLines/>
        <ns0:spacing ns0:after="100"/>
      </ns0:pPr>
      <ns0:r>
        <ns0:rPr>
          <ns0:rFonts ns0:ascii="Calibri" ns0:hAnsi="Calibri"/>
          <ns0:color ns0:val="181D23"/>
          <ns0:sz ns0:val="21"/>
        </ns0:rPr>
        <ns0:t>GAO's annual weapon-systems assessment reviews cost, schedule, technology maturity, and product-development practice across major acquisition programs. The report evaluates both contractor and government decisions, so it does not attribute every failure to private ownership alone. It establishes the performance problem and the points at which incentives and governance must change; the affirmative's ownership advocate supplies the additional institutional link.</ns0:t>
      </ns0:r>
    </ns0:p>
    <ns0:p>
      <ns0:pPr>
        <ns0:keepNext/>
        <ns0:keepLines/>
        <ns0:spacing ns0:after="100"/>
      </ns0:pPr>
      <ns0:r>
        <ns0:rPr>
          <ns0:rFonts ns0:ascii="Calibri" ns0:hAnsi="Calibri"/>
          <ns0:b/>
          <ns0:color ns0:val="181D23"/>
          <ns0:sz ns0:val="21"/>
          <ns0:u ns0:val="single"/>
        </ns0:rPr>
        <ns0:t xml:space="preserve">GAO finds that combined estimates rose by 49.3 billion dollars across 30 major programs assessed in consecutive years. </ns0:t>
      </ns0:r>
      <ns0:r>
        <ns0:rPr>
          <ns0:rFonts ns0:ascii="Calibri" ns0:hAnsi="Calibri"/>
          <ns0:color ns0:val="181D23"/>
          <ns0:sz ns0:val="21"/>
        </ns0:rPr>
        <ns0:t>The Sentinel program alone accounted for more than 36 billion dollars of that increase.</ns0:t>
      </ns0:r>
    </ns0:p>
    <ns0:p>
      <ns0:pPr>
        <ns0:keepLines/>
        <ns0:spacing ns0:after="160"/>
      </ns0:pPr>
      <ns0:r>
        <ns0:rPr>
          <ns0:rFonts ns0:ascii="Calibri" ns0:hAnsi="Calibri"/>
          <ns0:color ns0:val="181D23"/>
          <ns0:sz ns0:val="21"/>
        </ns0:rPr>
        <ns0:t>Average expected time from program start to initial capability increased by 18 months to almost twelve years. Persistent delay means service members wait for capability while taxpayers fund redesign and sustain aging systems.</ns0:t>
      </ns0:r>
    </ns0:p>
    <ns0:p>
      <ns0:pPr>
        <ns0:pStyle ns0:val="DebateTag"/>
      </ns0:pPr>
      <ns0:r>
        <ns0:t>Immature technology and weak product-development practice lock in failure early.</ns0:t>
      </ns0:r>
    </ns0:p>
    <ns0:p>
      <ns0:pPr>
        <ns0:pStyle ns0:val="EvidenceCitation"/>
      </ns0:pPr>
      <ns0:r>
        <ns0:t>U.S. Government Accountability Office, Weapon Systems Annual Assessment 2025, GAO-25-107569, June 11, 2025, https://www.gao.gov/products/gao-25-107569</ns0:t>
      </ns0:r>
    </ns0:p>
    <ns0:p>
      <ns0:pPr>
        <ns0:keepNext/>
        <ns0:keepLines/>
        <ns0:spacing ns0:after="100"/>
      </ns0:pPr>
      <ns0:r>
        <ns0:rPr>
          <ns0:rFonts ns0:ascii="Calibri" ns0:hAnsi="Calibri"/>
          <ns0:color ns0:val="181D23"/>
          <ns0:sz ns0:val="21"/>
        </ns0:rPr>
        <ns0:t>GAO's annual weapon-systems assessment reviews cost, schedule, technology maturity, and product-development practice across major acquisition programs. The report evaluates both contractor and government decisions, so it does not attribute every failure to private ownership alone. It establishes the performance problem and the points at which incentives and governance must change; the affirmative's ownership advocate supplies the additional institutional link.</ns0:t>
      </ns0:r>
    </ns0:p>
    <ns0:p>
      <ns0:pPr>
        <ns0:keepNext/>
        <ns0:keepLines/>
        <ns0:spacing ns0:after="100"/>
      </ns0:pPr>
      <ns0:r>
        <ns0:rPr>
          <ns0:rFonts ns0:ascii="Calibri" ns0:hAnsi="Calibri"/>
          <ns0:b/>
          <ns0:color ns0:val="181D23"/>
          <ns0:sz ns0:val="21"/>
          <ns0:u ns0:val="single"/>
        </ns0:rPr>
        <ns0:t xml:space="preserve">GAO reports that programs continue development with immature technologies and do not consistently use leading product-development practices at the earliest decision points. </ns0:t>
      </ns0:r>
      <ns0:r>
        <ns0:rPr>
          <ns0:rFonts ns0:ascii="Calibri" ns0:hAnsi="Calibri"/>
          <ns0:color ns0:val="181D23"/>
          <ns0:sz ns0:val="21"/>
        </ns0:rPr>
        <ns0:t>Problems discovered after design and production commitments become expensive to correct.</ns0:t>
      </ns0:r>
    </ns0:p>
    <ns0:p>
      <ns0:pPr>
        <ns0:keepLines/>
        <ns0:spacing ns0:after="160"/>
      </ns0:pPr>
      <ns0:r>
        <ns0:rPr>
          <ns0:rFonts ns0:ascii="Calibri" ns0:hAnsi="Calibri"/>
          <ns0:color ns0:val="181D23"/>
          <ns0:sz ns0:val="21"/>
        </ns0:rPr>
        <ns0:t>Public nonprofit primes can be directed to prototype, test, and mature technology before production without treating delay to a sales milestone as lost shareholder value. Ownership makes that mission enforceable across the firm.</ns0:t>
      </ns0:r>
    </ns0:p>
    <ns0:p>
      <ns0:pPr>
        <ns0:pStyle ns0:val="DebateTag"/>
      </ns0:pPr>
      <ns0:r>
        <ns0:t>Modular open systems reduce vendor lock-in and improve competition over a weapon's life cycle.</ns0:t>
      </ns0:r>
    </ns0:p>
    <ns0:p>
      <ns0:pPr>
        <ns0:pStyle ns0:val="EvidenceCitation"/>
      </ns0:pPr>
      <ns0:r>
        <ns0:t>U.S. Government Accountability Office, DOD Software Licenses and Modular Open Systems, GAO-25-106931, 2025, https://files.gao.gov/reports/GAO-25-106931/index.html</ns0:t>
      </ns0:r>
    </ns0:p>
    <ns0:p>
      <ns0:pPr>
        <ns0:keepNext/>
        <ns0:keepLines/>
        <ns0:spacing ns0:after="100"/>
      </ns0:pPr>
      <ns0:r>
        <ns0:rPr>
          <ns0:rFonts ns0:ascii="Calibri" ns0:hAnsi="Calibri"/>
          <ns0:color ns0:val="181D23"/>
          <ns0:sz ns0:val="21"/>
        </ns0:rPr>
        <ns0:t>GAO examines how modular open-system approaches, software licensing, technical data, and interface control affect the government's ability to maintain and compete future work. These tools matter across a system's life cycle because proprietary dependence can persist long after the initial production contract. The evidence supports the case's governance claim only when paired with the argument that a public owner can impose those rules across the enterprise.</ns0:t>
      </ns0:r>
    </ns0:p>
    <ns0:p>
      <ns0:pPr>
        <ns0:keepNext/>
        <ns0:keepLines/>
        <ns0:spacing ns0:after="100"/>
      </ns0:pPr>
      <ns0:r>
        <ns0:rPr>
          <ns0:rFonts ns0:ascii="Calibri" ns0:hAnsi="Calibri"/>
          <ns0:b/>
          <ns0:color ns0:val="181D23"/>
          <ns0:sz ns0:val="21"/>
          <ns0:u ns0:val="single"/>
        </ns0:rPr>
        <ns0:t xml:space="preserve">GAO identifies modular open-system approaches and sufficient technical data rights as tools for replacing components, updating software, and competing future work. </ns0:t>
      </ns0:r>
      <ns0:r>
        <ns0:rPr>
          <ns0:rFonts ns0:ascii="Calibri" ns0:hAnsi="Calibri"/>
          <ns0:color ns0:val="181D23"/>
          <ns0:sz ns0:val="21"/>
        </ns0:rPr>
        <ns0:t>Proprietary interfaces and limited data rights can tie the government to an incumbent.</ns0:t>
      </ns0:r>
    </ns0:p>
    <ns0:p>
      <ns0:pPr>
        <ns0:keepLines/>
        <ns0:spacing ns0:after="160"/>
      </ns0:pPr>
      <ns0:r>
        <ns0:rPr>
          <ns0:rFonts ns0:ascii="Calibri" ns0:hAnsi="Calibri"/>
          <ns0:color ns0:val="181D23"/>
          <ns0:sz ns0:val="21"/>
        </ns0:rPr>
        <ns0:t>A public owner can require open interfaces and retain technical data as an enterprise rule. That reduces dependence on one contractor and allows mission-driven upgrades instead of monopoly-priced modifications.</ns0:t>
      </ns0:r>
    </ns0:p>
    <ns0:p>
      <ns0:pPr>
        <ns0:pStyle ns0:val="DebateTag"/>
      </ns0:pPr>
      <ns0:r>
        <ns0:t>Nationalization improves accountability because ownership and responsibility stop being split.</ns0:t>
      </ns0:r>
    </ns0:p>
    <ns0:p>
      <ns0:pPr>
        <ns0:pStyle ns0:val="EvidenceCitation"/>
      </ns0:pPr>
      <ns0:r>
        <ns0:t>U.S. Government Accountability Office, Weapon Systems Annual Assessment 2025, GAO-25-107569, June 11, 2025, https://www.gao.gov/products/gao-25-107569</ns0:t>
      </ns0:r>
    </ns0:p>
    <ns0:p>
      <ns0:pPr>
        <ns0:keepNext/>
        <ns0:keepLines/>
        <ns0:spacing ns0:after="100"/>
      </ns0:pPr>
      <ns0:r>
        <ns0:rPr>
          <ns0:rFonts ns0:ascii="Calibri" ns0:hAnsi="Calibri"/>
          <ns0:color ns0:val="181D23"/>
          <ns0:sz ns0:val="21"/>
        </ns0:rPr>
        <ns0:t>GAO's annual weapon-systems assessment reviews cost, schedule, technology maturity, and product-development practice across major acquisition programs. The report evaluates both contractor and government decisions, so it does not attribute every failure to private ownership alone. It establishes the performance problem and the points at which incentives and governance must change; the affirmative's ownership advocate supplies the additional institutional link.</ns0:t>
      </ns0:r>
    </ns0:p>
    <ns0:p>
      <ns0:pPr>
        <ns0:keepNext/>
        <ns0:keepLines/>
        <ns0:spacing ns0:after="100"/>
      </ns0:pPr>
      <ns0:r>
        <ns0:rPr>
          <ns0:rFonts ns0:ascii="Calibri" ns0:hAnsi="Calibri"/>
          <ns0:b/>
          <ns0:color ns0:val="181D23"/>
          <ns0:sz ns0:val="21"/>
          <ns0:u ns0:val="single"/>
        </ns0:rPr>
        <ns0:t xml:space="preserve">GAO's recurring findings show that government requirements, program offices, contractors, technologies, and incentives interact across long acquisition timelines. </ns0:t>
      </ns0:r>
      <ns0:r>
        <ns0:rPr>
          <ns0:rFonts ns0:ascii="Calibri" ns0:hAnsi="Calibri"/>
          <ns0:color ns0:val="181D23"/>
          <ns0:sz ns0:val="21"/>
        </ns0:rPr>
        <ns0:t>Contract remedies often arrive after lock-in, when cancellation threatens sunk cost and military need.</ns0:t>
      </ns0:r>
    </ns0:p>
    <ns0:p>
      <ns0:pPr>
        <ns0:keepLines/>
        <ns0:spacing ns0:after="160"/>
      </ns0:pPr>
      <ns0:r>
        <ns0:rPr>
          <ns0:rFonts ns0:ascii="Calibri" ns0:hAnsi="Calibri"/>
          <ns0:color ns0:val="181D23"/>
          <ns0:sz ns0:val="21"/>
        </ns0:rPr>
        <ns0:t>Under public ownership, elected institutions cannot blame a private prime while continuing to fund it, and the prime cannot invoke shareholder duty against mission changes. Ownership consolidates authority to redesign, open interfaces, preserve surge capacity, or terminate failed work.</ns0:t>
      </ns0:r>
    </ns0:p>
    <ns0:p>
      <ns0:pPr>
        <ns0:pStyle ns0:val="Heading1"/>
      </ns0:pPr>
      <ns0:r>
        <ns0:t>2AC extension and frontline library</ns0:t>
      </ns0:r>
    </ns0:p>
    <ns0:p>
      <ns0:pPr>
        <ns0:pStyle ns0:val="Heading2"/>
      </ns0:pPr>
      <ns0:r>
        <ns0:t>2AC — Procurement-reform counterplan</ns0:t>
      </ns0:r>
    </ns0:p>
    <ns0:p>
      <ns0:pPr>
        <ns0:pStyle ns0:val="ListBullet"/>
        <ns0:spacing ns0:after="80" ns0:line="300" ns0:lineRule="auto"/>
        <ns0:ind ns0:left="540" ns0:hanging="271"/>
      </ns0:pPr>
      <ns0:r>
        <ns0:rPr>
          <ns0:rFonts ns0:ascii="Calibri" ns0:hAnsi="Calibri"/>
          <ns0:color ns0:val="181D23"/>
          <ns0:sz ns0:val="22"/>
        </ns0:rPr>
        <ns0:t>Contract reform manages symptoms after the government is dependent on the same concentrated firms.</ns0:t>
      </ns0:r>
    </ns0:p>
    <ns0:p>
      <ns0:pPr>
        <ns0:pStyle ns0:val="ListBullet"/>
        <ns0:spacing ns0:after="80" ns0:line="300" ns0:lineRule="auto"/>
        <ns0:ind ns0:left="540" ns0:hanging="271"/>
      </ns0:pPr>
      <ns0:r>
        <ns0:rPr>
          <ns0:rFonts ns0:ascii="Calibri" ns0:hAnsi="Calibri"/>
          <ns0:color ns0:val="181D23"/>
          <ns0:sz ns0:val="22"/>
        </ns0:rPr>
        <ns0:t>Ownership is necessary to make open architecture, technical-data retention, and mission governance enterprise-wide and durable.</ns0:t>
      </ns0:r>
    </ns0:p>
    <ns0:p>
      <ns0:pPr>
        <ns0:pStyle ns0:val="ListBullet"/>
        <ns0:spacing ns0:after="80" ns0:line="300" ns0:lineRule="auto"/>
        <ns0:ind ns0:left="540" ns0:hanging="271"/>
      </ns0:pPr>
      <ns0:r>
        <ns0:rPr>
          <ns0:rFonts ns0:ascii="Calibri" ns0:hAnsi="Calibri"/>
          <ns0:color ns0:val="181D23"/>
          <ns0:sz ns0:val="22"/>
        </ns0:rPr>
        <ns0:t>GAO has recommended acquisition reforms for years while delay and cost growth persist.</ns0:t>
      </ns0:r>
    </ns0:p>
    <ns0:p>
      <ns0:pPr>
        <ns0:pStyle ns0:val="Heading2"/>
      </ns0:pPr>
      <ns0:r>
        <ns0:t>2AC — GOCO/arsenal counterplan</ns0:t>
      </ns0:r>
    </ns0:p>
    <ns0:p>
      <ns0:pPr>
        <ns0:pStyle ns0:val="ListBullet"/>
        <ns0:spacing ns0:after="80" ns0:line="300" ns0:lineRule="auto"/>
        <ns0:ind ns0:left="540" ns0:hanging="271"/>
      </ns0:pPr>
      <ns0:r>
        <ns0:rPr>
          <ns0:rFonts ns0:ascii="Calibri" ns0:hAnsi="Calibri"/>
          <ns0:color ns0:val="181D23"/>
          <ns0:sz ns0:val="22"/>
        </ns0:rPr>
        <ns0:t>Owning selected facilities leaves corporate headquarters, IP strategy, lobbying, program selection, and residual profits private.</ns0:t>
      </ns0:r>
    </ns0:p>
    <ns0:p>
      <ns0:pPr>
        <ns0:pStyle ns0:val="ListBullet"/>
        <ns0:spacing ns0:after="80" ns0:line="300" ns0:lineRule="auto"/>
        <ns0:ind ns0:left="540" ns0:hanging="271"/>
      </ns0:pPr>
      <ns0:r>
        <ns0:rPr>
          <ns0:rFonts ns0:ascii="Calibri" ns0:hAnsi="Calibri"/>
          <ns0:color ns0:val="181D23"/>
          <ns0:sz ns0:val="22"/>
        </ns0:rPr>
        <ns0:t>The plan retains existing workforces and supply chains; it changes control of the prime integrators where lock-in is greatest.</ns0:t>
      </ns0:r>
    </ns0:p>
    <ns0:p>
      <ns0:pPr>
        <ns0:pStyle ns0:val="ListBullet"/>
        <ns0:spacing ns0:after="80" ns0:line="300" ns0:lineRule="auto"/>
        <ns0:ind ns0:left="540" ns0:hanging="271"/>
      </ns0:pPr>
      <ns0:r>
        <ns0:rPr>
          <ns0:rFonts ns0:ascii="Calibri" ns0:hAnsi="Calibri"/>
          <ns0:color ns0:val="181D23"/>
          <ns0:sz ns0:val="22"/>
        </ns0:rPr>
        <ns0:t>The counterplan cannot solve the foreign-policy incentive because private owners still gain from sales growth.</ns0:t>
      </ns0:r>
    </ns0:p>
    <ns0:p>
      <ns0:pPr>
        <ns0:pStyle ns0:val="Heading2"/>
      </ns0:pPr>
      <ns0:r>
        <ns0:t>2AC — Bureaucracy</ns0:t>
      </ns0:r>
    </ns0:p>
    <ns0:p>
      <ns0:pPr>
        <ns0:pStyle ns0:val="ListBullet"/>
        <ns0:spacing ns0:after="80" ns0:line="300" ns0:lineRule="auto"/>
        <ns0:ind ns0:left="540" ns0:hanging="271"/>
      </ns0:pPr>
      <ns0:r>
        <ns0:rPr>
          <ns0:rFonts ns0:ascii="Calibri" ns0:hAnsi="Calibri"/>
          <ns0:color ns0:val="181D23"/>
          <ns0:sz ns0:val="22"/>
        </ns0:rPr>
        <ns0:t>The current buyer is already the government; the plan removes a layer of profit and divided accountability rather than creating public influence from nothing.</ns0:t>
      </ns0:r>
    </ns0:p>
    <ns0:p>
      <ns0:pPr>
        <ns0:pStyle ns0:val="ListBullet"/>
        <ns0:spacing ns0:after="80" ns0:line="300" ns0:lineRule="auto"/>
        <ns0:ind ns0:left="540" ns0:hanging="271"/>
      </ns0:pPr>
      <ns0:r>
        <ns0:rPr>
          <ns0:rFonts ns0:ascii="Calibri" ns0:hAnsi="Calibri"/>
          <ns0:color ns0:val="181D23"/>
          <ns0:sz ns0:val="22"/>
        </ns0:rPr>
        <ns0:t>Nonprofit corporate form preserves professional management and operational separation.</ns0:t>
      </ns0:r>
    </ns0:p>
    <ns0:p>
      <ns0:pPr>
        <ns0:pStyle ns0:val="ListBullet"/>
        <ns0:spacing ns0:after="80" ns0:line="300" ns0:lineRule="auto"/>
        <ns0:ind ns0:left="540" ns0:hanging="271"/>
      </ns0:pPr>
      <ns0:r>
        <ns0:rPr>
          <ns0:rFonts ns0:ascii="Calibri" ns0:hAnsi="Calibri"/>
          <ns0:color ns0:val="181D23"/>
          <ns0:sz ns0:val="22"/>
        </ns0:rPr>
        <ns0:t>Transparent mission metrics, public boards, and congressional oversight make failure more contestable than proprietary contracts.</ns0:t>
      </ns0:r>
    </ns0:p>
    <ns0:p>
      <ns0:pPr>
        <ns0:pStyle ns0:val="Heading2"/>
      </ns0:pPr>
      <ns0:r>
        <ns0:t>2AC — Militarism kritik</ns0:t>
      </ns0:r>
    </ns0:p>
    <ns0:p>
      <ns0:pPr>
        <ns0:pStyle ns0:val="ListBullet"/>
        <ns0:spacing ns0:after="80" ns0:line="300" ns0:lineRule="auto"/>
        <ns0:ind ns0:left="540" ns0:hanging="271"/>
      </ns0:pPr>
      <ns0:r>
        <ns0:rPr>
          <ns0:rFonts ns0:ascii="Calibri" ns0:hAnsi="Calibri"/>
          <ns0:color ns0:val="181D23"/>
          <ns0:sz ns0:val="22"/>
        </ns0:rPr>
        <ns0:t>The affirmative is a reform of political economy, not a celebration of weapons.</ns0:t>
      </ns0:r>
    </ns0:p>
    <ns0:p>
      <ns0:pPr>
        <ns0:pStyle ns0:val="ListBullet"/>
        <ns0:spacing ns0:after="80" ns0:line="300" ns0:lineRule="auto"/>
        <ns0:ind ns0:left="540" ns0:hanging="271"/>
      </ns0:pPr>
      <ns0:r>
        <ns0:rPr>
          <ns0:rFonts ns0:ascii="Calibri" ns0:hAnsi="Calibri"/>
          <ns0:color ns0:val="181D23"/>
          <ns0:sz ns0:val="22"/>
        </ns0:rPr>
        <ns0:t>Removing corporate lobbying and shareholder demand is a material reduction in the machinery that reproduces militarized policy.</ns0:t>
      </ns0:r>
    </ns0:p>
    <ns0:p>
      <ns0:pPr>
        <ns0:pStyle ns0:val="ListBullet"/>
        <ns0:spacing ns0:after="80" ns0:line="300" ns0:lineRule="auto"/>
        <ns0:ind ns0:left="540" ns0:hanging="271"/>
      </ns0:pPr>
      <ns0:r>
        <ns0:rPr>
          <ns0:rFonts ns0:ascii="Calibri" ns0:hAnsi="Calibri"/>
          <ns0:color ns0:val="181D23"/>
          <ns0:sz ns0:val="22"/>
        </ns0:rPr>
        <ns0:t>Permutation: publicly own necessary capacity while contesting militarism and reducing force posture; private profit is not required for critical refusal.</ns0:t>
      </ns0:r>
    </ns0:p>
    <ns0:p>
      <ns0:pPr>
        <ns0:pStyle ns0:val="Heading1"/>
      </ns0:pPr>
      <ns0:r>
        <ns0:t>Tournament use notes</ns0:t>
      </ns0:r>
    </ns0:p>
    <ns0:p>
      <ns0:pPr>
        <ns0:pStyle ns0:val="ListBullet"/>
        <ns0:spacing ns0:after="80" ns0:line="300" ns0:lineRule="auto"/>
        <ns0:ind ns0:left="540" ns0:hanging="271"/>
      </ns0:pPr>
      <ns0:r>
        <ns0:rPr>
          <ns0:rFonts ns0:ascii="Calibri" ns0:hAnsi="Calibri"/>
          <ns0:color ns0:val="181D23"/>
          <ns0:sz ns0:val="22"/>
        </ns0:rPr>
        <ns0:t>Each card preserves an unmarked context paragraph before the selected passage and an unmarked context paragraph after it; no highlighting is used.</ns0:t>
      </ns0:r>
    </ns0:p>
    <ns0:p>
      <ns0:pPr>
        <ns0:pStyle ns0:val="ListBullet"/>
        <ns0:spacing ns0:after="80" ns0:line="300" ns0:lineRule="auto"/>
        <ns0:ind ns0:left="540" ns0:hanging="271"/>
      </ns0:pPr>
      <ns0:r>
        <ns0:rPr>
          <ns0:rFonts ns0:ascii="Calibri" ns0:hAnsi="Calibri"/>
          <ns0:color ns0:val="181D23"/>
          <ns0:sz ns0:val="22"/>
        </ns0:rPr>
        <ns0:t>Only the intended read paragraph receives selective bolding and underlining. Trim only after checking that the warrant and qualification remain intact.</ns0:t>
      </ns0:r>
    </ns0:p>
    <ns0:p>
      <ns0:pPr>
        <ns0:pStyle ns0:val="ListBullet"/>
        <ns0:spacing ns0:after="80" ns0:line="300" ns0:lineRule="auto"/>
        <ns0:ind ns0:left="540" ns0:hanging="271"/>
      </ns0:pPr>
      <ns0:r>
        <ns0:rPr>
          <ns0:rFonts ns0:ascii="Calibri" ns0:hAnsi="Calibri"/>
          <ns0:color ns0:val="181D23"/>
          <ns0:sz ns0:val="22"/>
        </ns0:rPr>
        <ns0:t>Open every linked source before a tournament and preserve the full surrounding text in your research archive.</ns0:t>
      </ns0:r>
    </ns0:p>
    <ns0:p>
      <ns0:pPr>
        <ns0:pStyle ns0:val="ListBullet"/>
        <ns0:spacing ns0:after="80" ns0:line="300" ns0:lineRule="auto"/>
        <ns0:ind ns0:left="540" ns0:hanging="271"/>
      </ns0:pPr>
      <ns0:r>
        <ns0:rPr>
          <ns0:rFonts ns0:ascii="Calibri" ns0:hAnsi="Calibri"/>
          <ns0:color ns0:val="181D23"/>
          <ns0:sz ns0:val="22"/>
        </ns0:rPr>
        <ns0:t>Update time-sensitive uniqueness—budgets, shortage counts, market concentration, grid demand, and current legislation—before competition.</ns0:t>
      </ns0:r>
    </ns0:p>
    <ns0:p>
      <ns0:pPr>
        <ns0:pStyle ns0:val="ListBullet"/>
        <ns0:spacing ns0:after="80" ns0:line="300" ns0:lineRule="auto"/>
        <ns0:ind ns0:left="540" ns0:hanging="271"/>
      </ns0:pPr>
      <ns0:r>
        <ns0:rPr>
          <ns0:rFonts ns0:ascii="Calibri" ns0:hAnsi="Calibri"/>
          <ns0:color ns0:val="181D23"/>
          <ns0:sz ns0:val="22"/>
        </ns0:rPr>
        <ns0:t>The 2AC blocks are analytic extensions. Pair them with updated evidence when the negative makes an evidence-heavy objection.</ns0:t>
      </ns0:r>
    </ns0:p>
    <ns0:p>
      <ns0:r>
        <ns0:br ns0:type="page"/>
      </ns0:r>
    </ns0:p>
    <ns0:p>
      <ns0:pPr>
        <ns0:pStyle ns0:val="Heading1"/>
      </ns0:pPr>
      <ns0:r>
        <ns0:t>Condensed 1AC speech map</ns0:t>
      </ns0:r>
    </ns0:p>
    <ns0:p>
      <ns0:r>
        <ns0:rPr>
          <ns0:rFonts ns0:ascii="Calibri" ns0:hAnsi="Calibri"/>
          <ns0:b/>
          <ns0:color ns0:val="1F3A5F"/>
          <ns0:sz ns0:val="22"/>
        </ns0:rPr>
        <ns0:t xml:space="preserve">Opening: </ns0:t>
      </ns0:r>
      <ns0:r>
        <ns0:rPr>
          <ns0:rFonts ns0:ascii="Calibri" ns0:hAnsi="Calibri"/>
          <ns0:color ns0:val="181D23"/>
          <ns0:sz ns0:val="22"/>
        </ns0:rPr>
        <ns0:t>Value: democratic peace. Criterion: subordinate weapons production to publicly accountable strategy, reliability, and life-cycle cost rather than private sales growth.</ns0:t>
      </ns0:r>
    </ns0:p>
    <ns0:p>
      <ns0:r>
        <ns0:rPr>
          <ns0:rFonts ns0:ascii="Calibri" ns0:hAnsi="Calibri"/>
          <ns0:b/>
          <ns0:color ns0:val="1F3A5F"/>
          <ns0:sz ns0:val="22"/>
        </ns0:rPr>
        <ns0:t xml:space="preserve">Mandate: </ns0:t>
      </ns0:r>
      <ns0:r>
        <ns0:rPr>
          <ns0:rFonts ns0:ascii="Calibri" ns0:hAnsi="Calibri"/>
          <ns0:color ns0:val="181D23"/>
          <ns0:sz ns0:val="22"/>
        </ns0:rPr>
        <ns0:t>The United States federal government should acquire controlling ownership of the five largest United States arms manufacturers by defense revenue and charter them as federally owned nonprofit corporations.</ns0:t>
      </ns0:r>
    </ns0:p>
    <ns0:p>
      <ns0:r>
        <ns0:rPr>
          <ns0:rFonts ns0:ascii="Calibri" ns0:hAnsi="Calibri"/>
          <ns0:b/>
          <ns0:color ns0:val="1F3A5F"/>
          <ns0:sz ns0:val="22"/>
        </ns0:rPr>
        <ns0:t xml:space="preserve">1. </ns0:t>
      </ns0:r>
      <ns0:r>
        <ns0:rPr>
          <ns0:rFonts ns0:ascii="Calibri" ns0:hAnsi="Calibri"/>
          <ns0:color ns0:val="181D23"/>
          <ns0:sz ns0:val="22"/>
        </ns0:rPr>
        <ns0:t>Inherency — concentrated private primes combine weak competition with shareholder incentives.</ns0:t>
      </ns0:r>
    </ns0:p>
    <ns0:p>
      <ns0:r>
        <ns0:rPr>
          <ns0:rFonts ns0:ascii="Calibri" ns0:hAnsi="Calibri"/>
          <ns0:b/>
          <ns0:color ns0:val="1F3A5F"/>
          <ns0:sz ns0:val="22"/>
        </ns0:rPr>
        <ns0:t xml:space="preserve">2. </ns0:t>
      </ns0:r>
      <ns0:r>
        <ns0:rPr>
          <ns0:rFonts ns0:ascii="Calibri" ns0:hAnsi="Calibri"/>
          <ns0:color ns0:val="181D23"/>
          <ns0:sz ns0:val="22"/>
        </ns0:rPr>
        <ns0:t>Solvency — a contemporary advocate supplies acquisition, compensation, and nonprofit governance mechanics.</ns0:t>
      </ns0:r>
    </ns0:p>
    <ns0:p>
      <ns0:r>
        <ns0:rPr>
          <ns0:rFonts ns0:ascii="Calibri" ns0:hAnsi="Calibri"/>
          <ns0:b/>
          <ns0:color ns0:val="1F3A5F"/>
          <ns0:sz ns0:val="22"/>
        </ns0:rPr>
        <ns0:t xml:space="preserve">3. </ns0:t>
      </ns0:r>
      <ns0:r>
        <ns0:rPr>
          <ns0:rFonts ns0:ascii="Calibri" ns0:hAnsi="Calibri"/>
          <ns0:color ns0:val="181D23"/>
          <ns0:sz ns0:val="22"/>
        </ns0:rPr>
        <ns0:t>Advantage 1 — Acquisition performance and readiness.</ns0:t>
      </ns0:r>
    </ns0:p>
    <ns0:p>
      <ns0:r>
        <ns0:rPr>
          <ns0:rFonts ns0:ascii="Calibri" ns0:hAnsi="Calibri"/>
          <ns0:b/>
          <ns0:color ns0:val="1F3A5F"/>
          <ns0:sz ns0:val="22"/>
        </ns0:rPr>
        <ns0:t xml:space="preserve">4. </ns0:t>
      </ns0:r>
      <ns0:r>
        <ns0:rPr>
          <ns0:rFonts ns0:ascii="Calibri" ns0:hAnsi="Calibri"/>
          <ns0:color ns0:val="181D23"/>
          <ns0:sz ns0:val="22"/>
        </ns0:rPr>
        <ns0:t>Advantage 2 — Democratic foreign-policy control.</ns0:t>
      </ns0:r>
    </ns0:p>
    <ns0:p>
      <ns0:r>
        <ns0:rPr>
          <ns0:rFonts ns0:ascii="Calibri" ns0:hAnsi="Calibri"/>
          <ns0:b/>
          <ns0:color ns0:val="1F3A5F"/>
          <ns0:sz ns0:val="22"/>
        </ns0:rPr>
        <ns0:t xml:space="preserve">Closing comparison: </ns0:t>
      </ns0:r>
      <ns0:r>
        <ns0:rPr>
          <ns0:rFonts ns0:ascii="Calibri" ns0:hAnsi="Calibri"/>
          <ns0:color ns0:val="181D23"/>
          <ns0:sz ns0:val="22"/>
        </ns0:rPr>
        <ns0:t>The ballot should prefer the plan when its ownership mechanism solves a structural market failure and the negative cannot produce the same durable control without public ownership.</ns0:t>
      </ns0:r>
    </ns0:p>
    <ns0:sectPr ns0:rsidR="00FC693F" ns0:rsidRPr="0006063C" ns0:rsidSect="00034616">
      <ns0:headerReference ns0:type="default" ns2:id="rId9"/>
      <ns0:footerReference ns0:type="default" ns2:id="rId10"/>
      <ns0:pgSz ns0:w="12240" ns0:h="15840"/>
      <ns0:pgMar ns0:top="1440" ns0:right="1440" ns0:bottom="1440" ns0:left="1440" ns0:header="708" ns0:footer="708" ns0:gutter="0"/>
      <ns0:cols ns0:space="720"/>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AFF 5 — Public Nonprofit Arms Manufacturing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