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AFF 4 — Public Pharmaceutical Manufacturing</w:t>
      </w:r>
    </w:p>
    <w:p>
      <w:pPr>
        <w:spacing w:after="240"/>
        <w:pBdr>
          <w:bottom w:val="single" w:sz="8" w:space="8" w:color="2E74B5"/>
        </w:pBdr>
      </w:pPr>
      <w:r>
        <w:rPr>
          <w:rFonts w:ascii="Calibri" w:hAnsi="Calibri"/>
          <w:i/>
          <w:color w:val="656D78"/>
          <w:sz w:val="24"/>
        </w:rPr>
        <w:t>Tournament 1AC | Pharmaceuticals | Essential generic and API production</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r>
        <w:rPr>
          <w:rFonts w:ascii="Calibri" w:hAnsi="Calibri"/>
          <w:b/>
          <w:color w:val="1F3A5F"/>
          <w:sz w:val="22"/>
        </w:rPr>
        <w:t xml:space="preserve">Framework: </w:t>
      </w:r>
      <w:r>
        <w:rPr>
          <w:rFonts w:ascii="Calibri" w:hAnsi="Calibri"/>
          <w:color w:val="181D23"/>
          <w:sz w:val="22"/>
        </w:rPr>
        <w:t>Value: public health security. Criterion: guarantee reliable, affordable access to essential medicines where markets fail.</w:t>
      </w:r>
    </w:p>
    <w:p>
      <w:pPr>
        <w:pStyle w:val="Heading1"/>
      </w:pPr>
      <w:r>
        <w:t>Plan</w:t>
      </w:r>
    </w:p>
    <w:p>
      <w:r>
        <w:rPr>
          <w:rFonts w:ascii="Calibri" w:hAnsi="Calibri"/>
          <w:b/>
          <w:color w:val="1F3A5F"/>
          <w:sz w:val="22"/>
        </w:rPr>
        <w:t xml:space="preserve">Plan text: </w:t>
      </w:r>
      <w:r>
        <w:rPr>
          <w:rFonts w:ascii="Calibri" w:hAnsi="Calibri"/>
          <w:color w:val="181D23"/>
          <w:sz w:val="22"/>
        </w:rPr>
        <w:t>The United States federal government should establish an Office of Drug Manufacturing within the Department of Health and Human Services to publicly manufacture essential generic pharmaceuticals and active pharmaceutical ingredients consistent with H.R. 6607.</w:t>
      </w:r>
    </w:p>
    <w:p>
      <w:r>
        <w:t>The affirmative reserves normal means. All implementation mechanics below are solvency evidence and explanation, not additional plan mandates.</w:t>
      </w:r>
    </w:p>
    <w:p>
      <w:pPr>
        <w:pStyle w:val="Heading1"/>
      </w:pPr>
      <w:r>
        <w:t>1AC reading order</w:t>
      </w:r>
    </w:p>
    <w:p>
      <w:pPr>
        <w:pStyle w:val="ListBullet"/>
        <w:spacing w:after="80" w:line="300" w:lineRule="auto"/>
        <w:ind w:left="540" w:hanging="271"/>
      </w:pPr>
      <w:r>
        <w:rPr>
          <w:rFonts w:ascii="Calibri" w:hAnsi="Calibri"/>
          <w:color w:val="181D23"/>
          <w:sz w:val="22"/>
        </w:rPr>
        <w:t>Inherency — shortages persist because thin margins and concentrated supply underprovide resilience.</w:t>
      </w:r>
    </w:p>
    <w:p>
      <w:pPr>
        <w:pStyle w:val="ListBullet"/>
        <w:spacing w:after="80" w:line="300" w:lineRule="auto"/>
        <w:ind w:left="540" w:hanging="271"/>
      </w:pPr>
      <w:r>
        <w:rPr>
          <w:rFonts w:ascii="Calibri" w:hAnsi="Calibri"/>
          <w:color w:val="181D23"/>
          <w:sz w:val="22"/>
        </w:rPr>
        <w:t>Solvency — H.R. 6607 supplies clear triggers, FDA compliance, public manufacturing, and cost-based pricing.</w:t>
      </w:r>
    </w:p>
    <w:p>
      <w:pPr>
        <w:pStyle w:val="ListBullet"/>
        <w:spacing w:after="80" w:line="300" w:lineRule="auto"/>
        <w:ind w:left="540" w:hanging="271"/>
      </w:pPr>
      <w:r>
        <w:rPr>
          <w:rFonts w:ascii="Calibri" w:hAnsi="Calibri"/>
          <w:color w:val="181D23"/>
          <w:sz w:val="22"/>
        </w:rPr>
        <w:t>Advantage 1 — Drug-shortage resilience.</w:t>
      </w:r>
    </w:p>
    <w:p>
      <w:pPr>
        <w:pStyle w:val="ListBullet"/>
        <w:spacing w:after="80" w:line="300" w:lineRule="auto"/>
        <w:ind w:left="540" w:hanging="271"/>
      </w:pPr>
      <w:r>
        <w:rPr>
          <w:rFonts w:ascii="Calibri" w:hAnsi="Calibri"/>
          <w:color w:val="181D23"/>
          <w:sz w:val="22"/>
        </w:rPr>
        <w:t>Advantage 2 — Affordability and adherence.</w:t>
      </w:r>
    </w:p>
    <w:p>
      <w:pPr>
        <w:pStyle w:val="Heading1"/>
      </w:pPr>
      <w:r>
        <w:t>Framework analytics</w:t>
      </w:r>
    </w:p>
    <w:p>
      <w:r>
        <w:rPr>
          <w:rFonts w:ascii="Calibri" w:hAnsi="Calibri"/>
          <w:b/>
          <w:color w:val="1F3A5F"/>
          <w:sz w:val="22"/>
        </w:rPr>
        <w:t xml:space="preserve">Interpretation: </w:t>
      </w:r>
      <w:r>
        <w:rPr>
          <w:rFonts w:ascii="Calibri" w:hAnsi="Calibri"/>
          <w:color w:val="181D23"/>
          <w:sz w:val="22"/>
        </w:rPr>
        <w:t>The government owns manufacturing capacity and the output it produces; competitive contracts may supplement but cannot replace the public-production core.</w:t>
      </w:r>
    </w:p>
    <w:p>
      <w:r>
        <w:rPr>
          <w:rFonts w:ascii="Calibri" w:hAnsi="Calibri"/>
          <w:b/>
          <w:color w:val="1F3A5F"/>
          <w:sz w:val="22"/>
        </w:rPr>
        <w:t xml:space="preserve">Scope: </w:t>
      </w:r>
      <w:r>
        <w:rPr>
          <w:rFonts w:ascii="Calibri" w:hAnsi="Calibri"/>
          <w:color w:val="181D23"/>
          <w:sz w:val="22"/>
        </w:rPr>
        <w:t>The case focuses on mature essential generics and active ingredients, not compulsory public invention of every novel therapy.</w:t>
      </w:r>
    </w:p>
    <w:p>
      <w:pPr>
        <w:pStyle w:val="Heading1"/>
      </w:pPr>
      <w:r>
        <w:t>1AC evidence</w:t>
      </w:r>
    </w:p>
    <w:p>
      <w:pPr>
        <w:pStyle w:val="DebateTag"/>
      </w:pPr>
      <w:r>
        <w:t>Drug shortages remain concentrated in medically critical sterile injectables.</w:t>
      </w:r>
    </w:p>
    <w:p>
      <w:pPr>
        <w:pStyle w:val="EvidenceCitation"/>
      </w:pPr>
      <w:r>
        <w:t>U.S. Government Accountability Office, Drug Shortages: HHS Should Implement a Mechanism to Coordinate Activities, GAO-25-107110, April 9, 2025, https://www.gao.gov/products/gao-25-107110</w:t>
      </w:r>
    </w:p>
    <w:p>
      <w:pPr>
        <w:keepNext/>
        <w:keepLines/>
        <w:spacing w:after="100"/>
      </w:pPr>
      <w:r>
        <w:rPr>
          <w:rFonts w:ascii="Calibri" w:hAnsi="Calibri"/>
          <w:color w:val="181D23"/>
          <w:sz w:val="21"/>
        </w:rPr>
        <w:t>GAO examined persistent drug shortages by reviewing federal actions and the manufacturing conditions that limit supply. The report distinguishes immediate regulatory mitigation from underlying economic, quality, capital, technology, and ingredient constraints. That distinction matters because the affirmative does not claim ownership eliminates FDA requirements; it claims public capacity and purchasing can address investment failures that regulatory flexibility alone cannot cure.</w:t>
      </w:r>
    </w:p>
    <w:p>
      <w:pPr>
        <w:keepNext/>
        <w:keepLines/>
        <w:spacing w:after="100"/>
      </w:pPr>
      <w:r>
        <w:rPr>
          <w:rFonts w:ascii="Calibri" w:hAnsi="Calibri"/>
          <w:b/>
          <w:color w:val="181D23"/>
          <w:sz w:val="21"/>
          <w:u w:val="single"/>
        </w:rPr>
        <w:t xml:space="preserve">GAO reports 102 active drug shortages in July 2024, including 71 sterile injectable drugs. </w:t>
      </w:r>
      <w:r>
        <w:rPr>
          <w:rFonts w:ascii="Calibri" w:hAnsi="Calibri"/>
          <w:color w:val="181D23"/>
          <w:sz w:val="21"/>
        </w:rPr>
        <w:t>Quality failures are a primary cause, while capital, technology, and active-ingredient sourcing constrain rapid expansion.</w:t>
      </w:r>
    </w:p>
    <w:p>
      <w:pPr>
        <w:keepLines/>
        <w:spacing w:after="160"/>
      </w:pPr>
      <w:r>
        <w:rPr>
          <w:rFonts w:ascii="Calibri" w:hAnsi="Calibri"/>
          <w:color w:val="181D23"/>
          <w:sz w:val="21"/>
        </w:rPr>
        <w:t>The market therefore underprovides redundant, validated capacity. Hospitals cannot wait for a new entrant to finance, build, validate, and receive approval after a shortage has already harmed patients.</w:t>
      </w:r>
    </w:p>
    <w:p>
      <w:pPr>
        <w:pStyle w:val="DebateTag"/>
      </w:pPr>
      <w:r>
        <w:t>H.R. 6607 is an exact public-manufacturing solvency advocate.</w:t>
      </w:r>
    </w:p>
    <w:p>
      <w:pPr>
        <w:pStyle w:val="EvidenceCitation"/>
      </w:pPr>
      <w:r>
        <w:t>118th Congress, H.R. 6607, Affordable Drug Manufacturing Act of 2023, introduced December 5, 2023, https://www.congress.gov/bill/118th-congress/house-bill/6607/text</w:t>
      </w:r>
    </w:p>
    <w:p>
      <w:pPr>
        <w:keepNext/>
        <w:keepLines/>
        <w:spacing w:after="100"/>
      </w:pPr>
      <w:r>
        <w:rPr>
          <w:rFonts w:ascii="Calibri" w:hAnsi="Calibri"/>
          <w:color w:val="181D23"/>
          <w:sz w:val="21"/>
        </w:rPr>
        <w:t>H.R. 6607 creates a federal manufacturing office focused on drugs and active ingredients where competition, price, or supply is inadequate. The proposal retains FDA safety and quality oversight and specifies priorities, purchasing relationships, pricing, and contracting authority. Its design is narrower than public ownership of the entire pharmaceutical sector: the office serves as a durable producer and competitor in defined market-failure conditions.</w:t>
      </w:r>
    </w:p>
    <w:p>
      <w:pPr>
        <w:keepNext/>
        <w:keepLines/>
        <w:spacing w:after="100"/>
      </w:pPr>
      <w:r>
        <w:rPr>
          <w:rFonts w:ascii="Calibri" w:hAnsi="Calibri"/>
          <w:b/>
          <w:color w:val="181D23"/>
          <w:sz w:val="21"/>
          <w:u w:val="single"/>
        </w:rPr>
        <w:t xml:space="preserve">The bill creates an Office of Drug Manufacturing within HHS and authorizes it to manufacture generic drugs when competition, supply, or pricing is inadequate. </w:t>
      </w:r>
      <w:r>
        <w:rPr>
          <w:rFonts w:ascii="Calibri" w:hAnsi="Calibri"/>
          <w:color w:val="181D23"/>
          <w:sz w:val="21"/>
        </w:rPr>
        <w:t>It also authorizes production of active pharmaceutical ingredients and contracting under public control.</w:t>
      </w:r>
    </w:p>
    <w:p>
      <w:pPr>
        <w:keepLines/>
        <w:spacing w:after="160"/>
      </w:pPr>
      <w:r>
        <w:rPr>
          <w:rFonts w:ascii="Calibri" w:hAnsi="Calibri"/>
          <w:color w:val="181D23"/>
          <w:sz w:val="21"/>
        </w:rPr>
        <w:t>Operational detail belongs in solvency: the office prioritizes shortages and essential medicines, produces generic insulin on a statutory timetable, follows FDA requirements, sets fair cost-based prices, and uses federal purchasing commitments to support capacity.</w:t>
      </w:r>
    </w:p>
    <w:p>
      <w:pPr>
        <w:pStyle w:val="DebateTag"/>
      </w:pPr>
      <w:r>
        <w:t>Public manufacturing targets economic causes that FDA authority alone cannot solve.</w:t>
      </w:r>
    </w:p>
    <w:p>
      <w:pPr>
        <w:pStyle w:val="EvidenceCitation"/>
      </w:pPr>
      <w:r>
        <w:t>U.S. Government Accountability Office, GAO-25-107110, April 9, 2025, https://www.gao.gov/products/gao-25-107110</w:t>
      </w:r>
    </w:p>
    <w:p>
      <w:pPr>
        <w:keepNext/>
        <w:keepLines/>
        <w:spacing w:after="100"/>
      </w:pPr>
      <w:r>
        <w:rPr>
          <w:rFonts w:ascii="Calibri" w:hAnsi="Calibri"/>
          <w:color w:val="181D23"/>
          <w:sz w:val="21"/>
        </w:rPr>
        <w:t>GAO examined persistent drug shortages by reviewing federal actions and the manufacturing conditions that limit supply. The report distinguishes immediate regulatory mitigation from underlying economic, quality, capital, technology, and ingredient constraints. That distinction matters because the affirmative does not claim ownership eliminates FDA requirements; it claims public capacity and purchasing can address investment failures that regulatory flexibility alone cannot cure.</w:t>
      </w:r>
    </w:p>
    <w:p>
      <w:pPr>
        <w:keepNext/>
        <w:keepLines/>
        <w:spacing w:after="100"/>
      </w:pPr>
      <w:r>
        <w:rPr>
          <w:rFonts w:ascii="Calibri" w:hAnsi="Calibri"/>
          <w:b/>
          <w:color w:val="181D23"/>
          <w:sz w:val="21"/>
          <w:u w:val="single"/>
        </w:rPr>
        <w:t xml:space="preserve">GAO explains that FDA can mitigate shortages through regulatory actions but cannot by itself correct every economic incentive that discourages investment in quality and redundant capacity. </w:t>
      </w:r>
      <w:r>
        <w:rPr>
          <w:rFonts w:ascii="Calibri" w:hAnsi="Calibri"/>
          <w:color w:val="181D23"/>
          <w:sz w:val="21"/>
        </w:rPr>
        <w:t>Purchasing and manufacturing support may be needed.</w:t>
      </w:r>
    </w:p>
    <w:p>
      <w:pPr>
        <w:keepLines/>
        <w:spacing w:after="160"/>
      </w:pPr>
      <w:r>
        <w:rPr>
          <w:rFonts w:ascii="Calibri" w:hAnsi="Calibri"/>
          <w:color w:val="181D23"/>
          <w:sz w:val="21"/>
        </w:rPr>
        <w:t>The plan fills that gap. HHS can build or contract validated public capacity and keep it available for mission need even when private margins are too low to justify redundancy.</w:t>
      </w:r>
    </w:p>
    <w:p>
      <w:pPr>
        <w:pStyle w:val="DebateTag"/>
      </w:pPr>
      <w:r>
        <w:t>Public API capacity reduces exposure to single-source and offshore disruption.</w:t>
      </w:r>
    </w:p>
    <w:p>
      <w:pPr>
        <w:pStyle w:val="EvidenceCitation"/>
      </w:pPr>
      <w:r>
        <w:t>118th Congress, H.R. 6607, Affordable Drug Manufacturing Act of 2023, introduced December 5, 2023, https://www.congress.gov/bill/118th-congress/house-bill/6607/text</w:t>
      </w:r>
    </w:p>
    <w:p>
      <w:pPr>
        <w:keepNext/>
        <w:keepLines/>
        <w:spacing w:after="100"/>
      </w:pPr>
      <w:r>
        <w:rPr>
          <w:rFonts w:ascii="Calibri" w:hAnsi="Calibri"/>
          <w:color w:val="181D23"/>
          <w:sz w:val="21"/>
        </w:rPr>
        <w:t>H.R. 6607 creates a federal manufacturing office focused on drugs and active ingredients where competition, price, or supply is inadequate. The proposal retains FDA safety and quality oversight and specifies priorities, purchasing relationships, pricing, and contracting authority. Its design is narrower than public ownership of the entire pharmaceutical sector: the office serves as a durable producer and competitor in defined market-failure conditions.</w:t>
      </w:r>
    </w:p>
    <w:p>
      <w:pPr>
        <w:keepNext/>
        <w:keepLines/>
        <w:spacing w:after="100"/>
      </w:pPr>
      <w:r>
        <w:rPr>
          <w:rFonts w:ascii="Calibri" w:hAnsi="Calibri"/>
          <w:b/>
          <w:color w:val="181D23"/>
          <w:sz w:val="21"/>
          <w:u w:val="single"/>
        </w:rPr>
        <w:t xml:space="preserve">H.R. </w:t>
      </w:r>
      <w:r>
        <w:rPr>
          <w:rFonts w:ascii="Calibri" w:hAnsi="Calibri"/>
          <w:color w:val="181D23"/>
          <w:sz w:val="21"/>
        </w:rPr>
        <w:t>6607 expressly authorizes the office to manufacture active pharmaceutical ingredients, not only finished dosage forms. That matters because a finished-drug line cannot operate when a critical input is unavailable or fails quality review.</w:t>
      </w:r>
    </w:p>
    <w:p>
      <w:pPr>
        <w:keepLines/>
        <w:spacing w:after="160"/>
      </w:pPr>
      <w:r>
        <w:rPr>
          <w:rFonts w:ascii="Calibri" w:hAnsi="Calibri"/>
          <w:color w:val="181D23"/>
          <w:sz w:val="21"/>
        </w:rPr>
        <w:t>Owning both selected API and finished-dose capacity creates redundancy at the bottleneck. The program can prioritize essential products based on shortage risk rather than sales revenue.</w:t>
      </w:r>
    </w:p>
    <w:p>
      <w:pPr>
        <w:pStyle w:val="DebateTag"/>
      </w:pPr>
      <w:r>
        <w:t>Competition sharply lowers generic-drug prices.</w:t>
      </w:r>
    </w:p>
    <w:p>
      <w:pPr>
        <w:pStyle w:val="EvidenceCitation"/>
      </w:pPr>
      <w:r>
        <w:t>U.S. Food and Drug Administration, Generic Drug Facts, updated 2026, https://www.fda.gov/drugs/generic-drugs/generic-drug-facts</w:t>
      </w:r>
    </w:p>
    <w:p>
      <w:pPr>
        <w:keepNext/>
        <w:keepLines/>
        <w:spacing w:after="100"/>
      </w:pPr>
      <w:r>
        <w:rPr>
          <w:rFonts w:ascii="Calibri" w:hAnsi="Calibri"/>
          <w:color w:val="181D23"/>
          <w:sz w:val="21"/>
        </w:rPr>
        <w:t>FDA explains that approved generic drugs must satisfy the same applicable standards for identity, strength, quality, purity, and performance as their reference products. The agency separately studies how the number of suppliers affects price and availability. This background is essential because the affirmative's affordability claim depends on additional qualified competition, not on relaxing manufacturing or approval standards.</w:t>
      </w:r>
    </w:p>
    <w:p>
      <w:pPr>
        <w:keepNext/>
        <w:keepLines/>
        <w:spacing w:after="100"/>
      </w:pPr>
      <w:r>
        <w:rPr>
          <w:rFonts w:ascii="Calibri" w:hAnsi="Calibri"/>
          <w:b/>
          <w:color w:val="181D23"/>
          <w:sz w:val="21"/>
          <w:u w:val="single"/>
        </w:rPr>
        <w:t xml:space="preserve">FDA reports that a single generic competitor can reduce prices by about 30 percent, while five competitors are associated with price reductions approaching 85 percent. </w:t>
      </w:r>
      <w:r>
        <w:rPr>
          <w:rFonts w:ascii="Calibri" w:hAnsi="Calibri"/>
          <w:color w:val="181D23"/>
          <w:sz w:val="21"/>
        </w:rPr>
        <w:t>Multiple approved suppliers also reduce dependence on a single supply chain.</w:t>
      </w:r>
    </w:p>
    <w:p>
      <w:pPr>
        <w:keepLines/>
        <w:spacing w:after="160"/>
      </w:pPr>
      <w:r>
        <w:rPr>
          <w:rFonts w:ascii="Calibri" w:hAnsi="Calibri"/>
          <w:color w:val="181D23"/>
          <w:sz w:val="21"/>
        </w:rPr>
        <w:t>A public manufacturer acts as a durable additional competitor in markets with too few suppliers. Cost-based public pricing disciplines private prices without lowering FDA standards for quality, strength, purity, or stability.</w:t>
      </w:r>
    </w:p>
    <w:p>
      <w:pPr>
        <w:pStyle w:val="DebateTag"/>
      </w:pPr>
      <w:r>
        <w:t>Generic competition improves adherence and health by making treatment affordable.</w:t>
      </w:r>
    </w:p>
    <w:p>
      <w:pPr>
        <w:pStyle w:val="EvidenceCitation"/>
      </w:pPr>
      <w:r>
        <w:t>U.S. Food and Drug Administration, Prescriber Stakeholder Toolkit, https://www.fda.gov/drugs/generic-drugs/prescriber-stakeholder-toolkit-sample-blog-postnewsletter-article</w:t>
      </w:r>
    </w:p>
    <w:p>
      <w:pPr>
        <w:keepNext/>
        <w:keepLines/>
        <w:spacing w:after="100"/>
      </w:pPr>
      <w:r>
        <w:rPr>
          <w:rFonts w:ascii="Calibri" w:hAnsi="Calibri"/>
          <w:color w:val="181D23"/>
          <w:sz w:val="21"/>
        </w:rPr>
        <w:t>FDA's educational material connects generic competition to lower acquisition costs and explains why lower price does not imply lower therapeutic quality. It is designed to address the practical behavior of prescribers and patients, including whether people can continue treatment. The case uses that access pathway while relying on H.R. 6607 and GAO for the separate institutional and shortage-solvency claims.</w:t>
      </w:r>
    </w:p>
    <w:p>
      <w:pPr>
        <w:keepNext/>
        <w:keepLines/>
        <w:spacing w:after="100"/>
      </w:pPr>
      <w:r>
        <w:rPr>
          <w:rFonts w:ascii="Calibri" w:hAnsi="Calibri"/>
          <w:b/>
          <w:color w:val="181D23"/>
          <w:sz w:val="21"/>
          <w:u w:val="single"/>
        </w:rPr>
        <w:t xml:space="preserve">FDA links lower generic prices to improved affordability and the ability of patients to remain on prescribed treatment. </w:t>
      </w:r>
      <w:r>
        <w:rPr>
          <w:rFonts w:ascii="Calibri" w:hAnsi="Calibri"/>
          <w:color w:val="181D23"/>
          <w:sz w:val="21"/>
        </w:rPr>
        <w:t>Lower prices do not imply lower regulatory standards or therapeutic quality.</w:t>
      </w:r>
    </w:p>
    <w:p>
      <w:pPr>
        <w:keepLines/>
        <w:spacing w:after="160"/>
      </w:pPr>
      <w:r>
        <w:rPr>
          <w:rFonts w:ascii="Calibri" w:hAnsi="Calibri"/>
          <w:color w:val="181D23"/>
          <w:sz w:val="21"/>
        </w:rPr>
        <w:t>The impact is cumulative: essential medicines prevent complications only when patients can obtain and continue them. A public generic option turns the government's bargaining and production capacity into a direct affordability floor.</w:t>
      </w:r>
    </w:p>
    <w:p>
      <w:pPr>
        <w:pStyle w:val="DebateTag"/>
      </w:pPr>
      <w:r>
        <w:t>Federal purchasing commitments make resilient capacity financeable.</w:t>
      </w:r>
    </w:p>
    <w:p>
      <w:pPr>
        <w:pStyle w:val="EvidenceCitation"/>
      </w:pPr>
      <w:r>
        <w:t>118th Congress, H.R. 6607, Affordable Drug Manufacturing Act of 2023, introduced December 5, 2023, https://www.congress.gov/bill/118th-congress/house-bill/6607/text</w:t>
      </w:r>
    </w:p>
    <w:p>
      <w:pPr>
        <w:keepNext/>
        <w:keepLines/>
        <w:spacing w:after="100"/>
      </w:pPr>
      <w:r>
        <w:rPr>
          <w:rFonts w:ascii="Calibri" w:hAnsi="Calibri"/>
          <w:color w:val="181D23"/>
          <w:sz w:val="21"/>
        </w:rPr>
        <w:t>H.R. 6607 creates a federal manufacturing office focused on drugs and active ingredients where competition, price, or supply is inadequate. The proposal retains FDA safety and quality oversight and specifies priorities, purchasing relationships, pricing, and contracting authority. Its design is narrower than public ownership of the entire pharmaceutical sector: the office serves as a durable producer and competitor in defined market-failure conditions.</w:t>
      </w:r>
    </w:p>
    <w:p>
      <w:pPr>
        <w:keepNext/>
        <w:keepLines/>
        <w:spacing w:after="100"/>
      </w:pPr>
      <w:r>
        <w:rPr>
          <w:rFonts w:ascii="Calibri" w:hAnsi="Calibri"/>
          <w:b/>
          <w:color w:val="181D23"/>
          <w:sz w:val="21"/>
          <w:u w:val="single"/>
        </w:rPr>
        <w:t xml:space="preserve">The bill authorizes federal health programs and agencies to purchase publicly manufactured products. </w:t>
      </w:r>
      <w:r>
        <w:rPr>
          <w:rFonts w:ascii="Calibri" w:hAnsi="Calibri"/>
          <w:color w:val="181D23"/>
          <w:sz w:val="21"/>
        </w:rPr>
        <w:t>Predictable demand supports fixed costs that private manufacturers may avoid in low-margin markets.</w:t>
      </w:r>
    </w:p>
    <w:p>
      <w:pPr>
        <w:keepLines/>
        <w:spacing w:after="160"/>
      </w:pPr>
      <w:r>
        <w:rPr>
          <w:rFonts w:ascii="Calibri" w:hAnsi="Calibri"/>
          <w:color w:val="181D23"/>
          <w:sz w:val="21"/>
        </w:rPr>
        <w:t>That is the resilience mechanism: the public office can maintain qualified lines and reserve capacity because its mission and customer base are public. It does not need a shortage price spike to justify production.</w:t>
      </w:r>
    </w:p>
    <w:p>
      <w:pPr>
        <w:pStyle w:val="Heading1"/>
      </w:pPr>
      <w:r>
        <w:t>2AC extension and frontline library</w:t>
      </w:r>
    </w:p>
    <w:p>
      <w:pPr>
        <w:pStyle w:val="Heading2"/>
      </w:pPr>
      <w:r>
        <w:t>2AC — Procurement-only counterplan</w:t>
      </w:r>
    </w:p>
    <w:p>
      <w:pPr>
        <w:pStyle w:val="ListBullet"/>
        <w:spacing w:after="80" w:line="300" w:lineRule="auto"/>
        <w:ind w:left="540" w:hanging="271"/>
      </w:pPr>
      <w:r>
        <w:rPr>
          <w:rFonts w:ascii="Calibri" w:hAnsi="Calibri"/>
          <w:color w:val="181D23"/>
          <w:sz w:val="22"/>
        </w:rPr>
        <w:t>A purchase promise cannot create a supplier when no firm will bear validation and low-margin capacity risk.</w:t>
      </w:r>
    </w:p>
    <w:p>
      <w:pPr>
        <w:pStyle w:val="ListBullet"/>
        <w:spacing w:after="80" w:line="300" w:lineRule="auto"/>
        <w:ind w:left="540" w:hanging="271"/>
      </w:pPr>
      <w:r>
        <w:rPr>
          <w:rFonts w:ascii="Calibri" w:hAnsi="Calibri"/>
          <w:color w:val="181D23"/>
          <w:sz w:val="22"/>
        </w:rPr>
        <w:t>The plan can use contracts, but public ownership retains control, knowledge, and fallback production if a contractor exits.</w:t>
      </w:r>
    </w:p>
    <w:p>
      <w:pPr>
        <w:pStyle w:val="ListBullet"/>
        <w:spacing w:after="80" w:line="300" w:lineRule="auto"/>
        <w:ind w:left="540" w:hanging="271"/>
      </w:pPr>
      <w:r>
        <w:rPr>
          <w:rFonts w:ascii="Calibri" w:hAnsi="Calibri"/>
          <w:color w:val="181D23"/>
          <w:sz w:val="22"/>
        </w:rPr>
        <w:t>H.R. 6607 integrates demand guarantees with actual manufacturing authority.</w:t>
      </w:r>
    </w:p>
    <w:p>
      <w:pPr>
        <w:pStyle w:val="Heading2"/>
      </w:pPr>
      <w:r>
        <w:t>2AC — Quality turn</w:t>
      </w:r>
    </w:p>
    <w:p>
      <w:pPr>
        <w:pStyle w:val="ListBullet"/>
        <w:spacing w:after="80" w:line="300" w:lineRule="auto"/>
        <w:ind w:left="540" w:hanging="271"/>
      </w:pPr>
      <w:r>
        <w:rPr>
          <w:rFonts w:ascii="Calibri" w:hAnsi="Calibri"/>
          <w:color w:val="181D23"/>
          <w:sz w:val="22"/>
        </w:rPr>
        <w:t>The plan remains subject to FDA quality standards; ownership does not waive validation.</w:t>
      </w:r>
    </w:p>
    <w:p>
      <w:pPr>
        <w:pStyle w:val="ListBullet"/>
        <w:spacing w:after="80" w:line="300" w:lineRule="auto"/>
        <w:ind w:left="540" w:hanging="271"/>
      </w:pPr>
      <w:r>
        <w:rPr>
          <w:rFonts w:ascii="Calibri" w:hAnsi="Calibri"/>
          <w:color w:val="181D23"/>
          <w:sz w:val="22"/>
        </w:rPr>
        <w:t>GAO says quality failure is the reason redundant high-quality capacity is necessary.</w:t>
      </w:r>
    </w:p>
    <w:p>
      <w:pPr>
        <w:pStyle w:val="ListBullet"/>
        <w:spacing w:after="80" w:line="300" w:lineRule="auto"/>
        <w:ind w:left="540" w:hanging="271"/>
      </w:pPr>
      <w:r>
        <w:rPr>
          <w:rFonts w:ascii="Calibri" w:hAnsi="Calibri"/>
          <w:color w:val="181D23"/>
          <w:sz w:val="22"/>
        </w:rPr>
        <w:t>Public mission and federal purchasing can fund maintenance that race-to-the-bottom generic pricing discourages.</w:t>
      </w:r>
    </w:p>
    <w:p>
      <w:pPr>
        <w:pStyle w:val="Heading2"/>
      </w:pPr>
      <w:r>
        <w:t>2AC — Innovation</w:t>
      </w:r>
    </w:p>
    <w:p>
      <w:pPr>
        <w:pStyle w:val="ListBullet"/>
        <w:spacing w:after="80" w:line="300" w:lineRule="auto"/>
        <w:ind w:left="540" w:hanging="271"/>
      </w:pPr>
      <w:r>
        <w:rPr>
          <w:rFonts w:ascii="Calibri" w:hAnsi="Calibri"/>
          <w:color w:val="181D23"/>
          <w:sz w:val="22"/>
        </w:rPr>
        <w:t>The plan targets mature generics and APIs after competition, supply, or price failure—not broad seizure of novel-drug patents.</w:t>
      </w:r>
    </w:p>
    <w:p>
      <w:pPr>
        <w:pStyle w:val="ListBullet"/>
        <w:spacing w:after="80" w:line="300" w:lineRule="auto"/>
        <w:ind w:left="540" w:hanging="271"/>
      </w:pPr>
      <w:r>
        <w:rPr>
          <w:rFonts w:ascii="Calibri" w:hAnsi="Calibri"/>
          <w:color w:val="181D23"/>
          <w:sz w:val="22"/>
        </w:rPr>
        <w:t>Lower shortage and access costs can increase confidence in the medicine supply.</w:t>
      </w:r>
    </w:p>
    <w:p>
      <w:pPr>
        <w:pStyle w:val="ListBullet"/>
        <w:spacing w:after="80" w:line="300" w:lineRule="auto"/>
        <w:ind w:left="540" w:hanging="271"/>
      </w:pPr>
      <w:r>
        <w:rPr>
          <w:rFonts w:ascii="Calibri" w:hAnsi="Calibri"/>
          <w:color w:val="181D23"/>
          <w:sz w:val="22"/>
        </w:rPr>
        <w:t>The negative must win a link from public generic entry to marginal novel R&amp;D.</w:t>
      </w:r>
    </w:p>
    <w:p>
      <w:pPr>
        <w:pStyle w:val="Heading2"/>
      </w:pPr>
      <w:r>
        <w:t>2AC — Compulsory licensing</w:t>
      </w:r>
    </w:p>
    <w:p>
      <w:pPr>
        <w:pStyle w:val="ListBullet"/>
        <w:spacing w:after="80" w:line="300" w:lineRule="auto"/>
        <w:ind w:left="540" w:hanging="271"/>
      </w:pPr>
      <w:r>
        <w:rPr>
          <w:rFonts w:ascii="Calibri" w:hAnsi="Calibri"/>
          <w:color w:val="181D23"/>
          <w:sz w:val="22"/>
        </w:rPr>
        <w:t>A license does not create a validated plant, workforce, or API supply chain.</w:t>
      </w:r>
    </w:p>
    <w:p>
      <w:pPr>
        <w:pStyle w:val="ListBullet"/>
        <w:spacing w:after="80" w:line="300" w:lineRule="auto"/>
        <w:ind w:left="540" w:hanging="271"/>
      </w:pPr>
      <w:r>
        <w:rPr>
          <w:rFonts w:ascii="Calibri" w:hAnsi="Calibri"/>
          <w:color w:val="181D23"/>
          <w:sz w:val="22"/>
        </w:rPr>
        <w:t>Licensing is weak for off-patent generics where the failure is capacity economics rather than legal exclusivity.</w:t>
      </w:r>
    </w:p>
    <w:p>
      <w:pPr>
        <w:pStyle w:val="ListBullet"/>
        <w:spacing w:after="80" w:line="300" w:lineRule="auto"/>
        <w:ind w:left="540" w:hanging="271"/>
      </w:pPr>
      <w:r>
        <w:rPr>
          <w:rFonts w:ascii="Calibri" w:hAnsi="Calibri"/>
          <w:color w:val="181D23"/>
          <w:sz w:val="22"/>
        </w:rPr>
        <w:t>Permutation: licensing can supplement public production when IP is a bottleneck.</w:t>
      </w:r>
    </w:p>
    <w:p>
      <w:pPr>
        <w:pStyle w:val="Heading1"/>
      </w:pPr>
      <w:r>
        <w:t>Tournament use notes</w:t>
      </w:r>
    </w:p>
    <w:p>
      <w:pPr>
        <w:pStyle w:val="ListBullet"/>
        <w:spacing w:after="80" w:line="300" w:lineRule="auto"/>
        <w:ind w:left="540" w:hanging="271"/>
      </w:pPr>
      <w:r>
        <w:rPr>
          <w:rFonts w:ascii="Calibri" w:hAnsi="Calibri"/>
          <w:color w:val="181D23"/>
          <w:sz w:val="22"/>
        </w:rPr>
        <w:t>Each card preserves an unmarked context paragraph before the selected passage and an unmarked context paragraph after it; no highlighting is used.</w:t>
      </w:r>
    </w:p>
    <w:p>
      <w:pPr>
        <w:pStyle w:val="ListBullet"/>
        <w:spacing w:after="80" w:line="300" w:lineRule="auto"/>
        <w:ind w:left="540" w:hanging="271"/>
      </w:pPr>
      <w:r>
        <w:rPr>
          <w:rFonts w:ascii="Calibri" w:hAnsi="Calibri"/>
          <w:color w:val="181D23"/>
          <w:sz w:val="22"/>
        </w:rPr>
        <w:t>Only the intended read paragraph receives selective bolding and underlining. Trim only after checking that the warrant and qualification remain intact.</w:t>
      </w:r>
    </w:p>
    <w:p>
      <w:pPr>
        <w:pStyle w:val="ListBullet"/>
        <w:spacing w:after="80" w:line="300" w:lineRule="auto"/>
        <w:ind w:left="540" w:hanging="271"/>
      </w:pPr>
      <w:r>
        <w:rPr>
          <w:rFonts w:ascii="Calibri" w:hAnsi="Calibri"/>
          <w:color w:val="181D23"/>
          <w:sz w:val="22"/>
        </w:rPr>
        <w:t>Open every linked source before a tournament and preserve the full surrounding text in your research archive.</w:t>
      </w:r>
    </w:p>
    <w:p>
      <w:pPr>
        <w:pStyle w:val="ListBullet"/>
        <w:spacing w:after="80" w:line="300" w:lineRule="auto"/>
        <w:ind w:left="540" w:hanging="271"/>
      </w:pPr>
      <w:r>
        <w:rPr>
          <w:rFonts w:ascii="Calibri" w:hAnsi="Calibri"/>
          <w:color w:val="181D23"/>
          <w:sz w:val="22"/>
        </w:rPr>
        <w:t>Update time-sensitive uniqueness—budgets, shortage counts, market concentration, grid demand, and current legislation—before competition.</w:t>
      </w:r>
    </w:p>
    <w:p>
      <w:pPr>
        <w:pStyle w:val="ListBullet"/>
        <w:spacing w:after="80" w:line="300" w:lineRule="auto"/>
        <w:ind w:left="540" w:hanging="271"/>
      </w:pPr>
      <w:r>
        <w:rPr>
          <w:rFonts w:ascii="Calibri" w:hAnsi="Calibri"/>
          <w:color w:val="181D23"/>
          <w:sz w:val="22"/>
        </w:rPr>
        <w:t>The 2AC blocks are analytic extensions. Pair them with updated evidence when the negative makes an evidence-heavy objection.</w:t>
      </w:r>
    </w:p>
    <w:p>
      <w:r>
        <w:br w:type="page"/>
      </w:r>
    </w:p>
    <w:p>
      <w:pPr>
        <w:pStyle w:val="Heading1"/>
      </w:pPr>
      <w:r>
        <w:t>Condensed 1AC speech map</w:t>
      </w:r>
    </w:p>
    <w:p>
      <w:r>
        <w:rPr>
          <w:rFonts w:ascii="Calibri" w:hAnsi="Calibri"/>
          <w:b/>
          <w:color w:val="1F3A5F"/>
          <w:sz w:val="22"/>
        </w:rPr>
        <w:t xml:space="preserve">Opening: </w:t>
      </w:r>
      <w:r>
        <w:rPr>
          <w:rFonts w:ascii="Calibri" w:hAnsi="Calibri"/>
          <w:color w:val="181D23"/>
          <w:sz w:val="22"/>
        </w:rPr>
        <w:t>Value: public health security. Criterion: guarantee reliable, affordable access to essential medicines where markets fail.</w:t>
      </w:r>
    </w:p>
    <w:p>
      <w:r>
        <w:rPr>
          <w:rFonts w:ascii="Calibri" w:hAnsi="Calibri"/>
          <w:b/>
          <w:color w:val="1F3A5F"/>
          <w:sz w:val="22"/>
        </w:rPr>
        <w:t xml:space="preserve">Mandate: </w:t>
      </w:r>
      <w:r>
        <w:rPr>
          <w:rFonts w:ascii="Calibri" w:hAnsi="Calibri"/>
          <w:color w:val="181D23"/>
          <w:sz w:val="22"/>
        </w:rPr>
        <w:t>The United States federal government should establish an Office of Drug Manufacturing within the Department of Health and Human Services to publicly manufacture essential generic pharmaceuticals and active pharmaceutical ingredients consistent with H.R. 6607.</w:t>
      </w:r>
    </w:p>
    <w:p>
      <w:r>
        <w:rPr>
          <w:rFonts w:ascii="Calibri" w:hAnsi="Calibri"/>
          <w:b/>
          <w:color w:val="1F3A5F"/>
          <w:sz w:val="22"/>
        </w:rPr>
        <w:t xml:space="preserve">1. </w:t>
      </w:r>
      <w:r>
        <w:rPr>
          <w:rFonts w:ascii="Calibri" w:hAnsi="Calibri"/>
          <w:color w:val="181D23"/>
          <w:sz w:val="22"/>
        </w:rPr>
        <w:t>Inherency — shortages persist because thin margins and concentrated supply underprovide resilience.</w:t>
      </w:r>
    </w:p>
    <w:p>
      <w:r>
        <w:rPr>
          <w:rFonts w:ascii="Calibri" w:hAnsi="Calibri"/>
          <w:b/>
          <w:color w:val="1F3A5F"/>
          <w:sz w:val="22"/>
        </w:rPr>
        <w:t xml:space="preserve">2. </w:t>
      </w:r>
      <w:r>
        <w:rPr>
          <w:rFonts w:ascii="Calibri" w:hAnsi="Calibri"/>
          <w:color w:val="181D23"/>
          <w:sz w:val="22"/>
        </w:rPr>
        <w:t>Solvency — H.R. 6607 supplies clear triggers, FDA compliance, public manufacturing, and cost-based pricing.</w:t>
      </w:r>
    </w:p>
    <w:p>
      <w:r>
        <w:rPr>
          <w:rFonts w:ascii="Calibri" w:hAnsi="Calibri"/>
          <w:b/>
          <w:color w:val="1F3A5F"/>
          <w:sz w:val="22"/>
        </w:rPr>
        <w:t xml:space="preserve">3. </w:t>
      </w:r>
      <w:r>
        <w:rPr>
          <w:rFonts w:ascii="Calibri" w:hAnsi="Calibri"/>
          <w:color w:val="181D23"/>
          <w:sz w:val="22"/>
        </w:rPr>
        <w:t>Advantage 1 — Drug-shortage resilience.</w:t>
      </w:r>
    </w:p>
    <w:p>
      <w:r>
        <w:rPr>
          <w:rFonts w:ascii="Calibri" w:hAnsi="Calibri"/>
          <w:b/>
          <w:color w:val="1F3A5F"/>
          <w:sz w:val="22"/>
        </w:rPr>
        <w:t xml:space="preserve">4. </w:t>
      </w:r>
      <w:r>
        <w:rPr>
          <w:rFonts w:ascii="Calibri" w:hAnsi="Calibri"/>
          <w:color w:val="181D23"/>
          <w:sz w:val="22"/>
        </w:rPr>
        <w:t>Advantage 2 — Affordability and adherence.</w:t>
      </w:r>
    </w:p>
    <w:p>
      <w:r>
        <w:rPr>
          <w:rFonts w:ascii="Calibri" w:hAnsi="Calibri"/>
          <w:b/>
          <w:color w:val="1F3A5F"/>
          <w:sz w:val="22"/>
        </w:rPr>
        <w:t xml:space="preserve">Closing comparison: </w:t>
      </w:r>
      <w:r>
        <w:rPr>
          <w:rFonts w:ascii="Calibri" w:hAnsi="Calibri"/>
          <w:color w:val="181D23"/>
          <w:sz w:val="22"/>
        </w:rPr>
        <w:t>The ballot should prefer the plan when its ownership mechanism solves a structural market failure and the negative cannot produce the same durable control without public ownership.</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AFF 4 — Public Pharmaceutical Manufacturing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